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ascii="华文仿宋" w:hAnsi="华文仿宋" w:eastAsia="华文仿宋" w:cs="华文仿宋"/>
          <w:sz w:val="60"/>
          <w:szCs w:val="60"/>
        </w:rPr>
      </w:pPr>
    </w:p>
    <w:p>
      <w:pPr>
        <w:pStyle w:val="14"/>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4"/>
        <w:rPr>
          <w:rFonts w:ascii="华文仿宋" w:hAnsi="华文仿宋" w:eastAsia="华文仿宋" w:cs="华文仿宋"/>
          <w:sz w:val="60"/>
          <w:szCs w:val="60"/>
        </w:rPr>
      </w:pPr>
    </w:p>
    <w:p>
      <w:pPr>
        <w:pStyle w:val="14"/>
        <w:rPr>
          <w:rFonts w:ascii="华文仿宋" w:hAnsi="华文仿宋" w:eastAsia="华文仿宋" w:cs="华文仿宋"/>
          <w:sz w:val="60"/>
          <w:szCs w:val="60"/>
        </w:rPr>
      </w:pPr>
    </w:p>
    <w:p>
      <w:pPr>
        <w:pStyle w:val="14"/>
        <w:rPr>
          <w:rFonts w:hint="eastAsia" w:ascii="华文仿宋" w:hAnsi="华文仿宋" w:eastAsia="华文仿宋" w:cs="华文仿宋"/>
          <w:sz w:val="60"/>
          <w:szCs w:val="60"/>
        </w:rPr>
      </w:pPr>
      <w:r>
        <w:rPr>
          <w:rFonts w:hint="eastAsia" w:ascii="华文仿宋" w:hAnsi="华文仿宋" w:eastAsia="华文仿宋" w:cs="华文仿宋"/>
          <w:sz w:val="60"/>
          <w:szCs w:val="60"/>
          <w:highlight w:val="none"/>
        </w:rPr>
        <w:t>重症ICU数字孪生应用平台项目监理服务</w:t>
      </w:r>
      <w:r>
        <w:rPr>
          <w:rFonts w:hint="eastAsia" w:ascii="华文仿宋" w:hAnsi="华文仿宋" w:eastAsia="华文仿宋" w:cs="华文仿宋"/>
          <w:sz w:val="60"/>
          <w:szCs w:val="60"/>
        </w:rPr>
        <w:t>项目</w:t>
      </w:r>
    </w:p>
    <w:p>
      <w:pPr>
        <w:pStyle w:val="14"/>
        <w:rPr>
          <w:rFonts w:hint="eastAsia" w:ascii="华文仿宋" w:hAnsi="华文仿宋" w:eastAsia="华文仿宋" w:cs="华文仿宋"/>
          <w:sz w:val="60"/>
          <w:szCs w:val="60"/>
        </w:rPr>
      </w:pPr>
    </w:p>
    <w:p>
      <w:pPr>
        <w:pStyle w:val="14"/>
        <w:rPr>
          <w:rFonts w:ascii="华文仿宋" w:hAnsi="华文仿宋" w:eastAsia="华文仿宋" w:cs="华文仿宋"/>
          <w:sz w:val="36"/>
        </w:rPr>
      </w:pPr>
      <w:r>
        <w:rPr>
          <w:rFonts w:hint="eastAsia" w:ascii="华文仿宋" w:hAnsi="华文仿宋" w:eastAsia="华文仿宋" w:cs="华文仿宋"/>
          <w:sz w:val="60"/>
          <w:szCs w:val="60"/>
        </w:rPr>
        <w:t>遴选文件</w:t>
      </w:r>
    </w:p>
    <w:p>
      <w:pPr>
        <w:pStyle w:val="17"/>
        <w:ind w:firstLine="360"/>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hint="eastAsia"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w:t>
      </w:r>
      <w:r>
        <w:rPr>
          <w:rFonts w:hint="eastAsia" w:ascii="华文仿宋" w:hAnsi="华文仿宋" w:eastAsia="华文仿宋" w:cs="华文仿宋"/>
          <w:b/>
          <w:sz w:val="36"/>
          <w:szCs w:val="20"/>
          <w:highlight w:val="none"/>
        </w:rPr>
        <w:t>2023-ETLX</w:t>
      </w:r>
      <w:r>
        <w:rPr>
          <w:rFonts w:hint="eastAsia" w:ascii="华文仿宋" w:hAnsi="华文仿宋" w:eastAsia="华文仿宋" w:cs="华文仿宋"/>
          <w:b/>
          <w:sz w:val="36"/>
          <w:szCs w:val="20"/>
          <w:highlight w:val="none"/>
          <w:lang w:val="en-US" w:eastAsia="zh-CN"/>
        </w:rPr>
        <w:t>XB</w:t>
      </w:r>
      <w:r>
        <w:rPr>
          <w:rFonts w:hint="eastAsia" w:ascii="华文仿宋" w:hAnsi="华文仿宋" w:eastAsia="华文仿宋" w:cs="华文仿宋"/>
          <w:b/>
          <w:sz w:val="36"/>
          <w:szCs w:val="20"/>
          <w:highlight w:val="none"/>
        </w:rPr>
        <w:t>-00</w:t>
      </w:r>
      <w:r>
        <w:rPr>
          <w:rFonts w:hint="eastAsia" w:ascii="华文仿宋" w:hAnsi="华文仿宋" w:eastAsia="华文仿宋" w:cs="华文仿宋"/>
          <w:b/>
          <w:sz w:val="36"/>
          <w:szCs w:val="20"/>
          <w:highlight w:val="none"/>
          <w:lang w:val="en-US" w:eastAsia="zh-CN"/>
        </w:rPr>
        <w:t>4</w:t>
      </w:r>
    </w:p>
    <w:p>
      <w:pPr>
        <w:pStyle w:val="14"/>
        <w:rPr>
          <w:rFonts w:ascii="华文仿宋" w:hAnsi="华文仿宋" w:eastAsia="华文仿宋" w:cs="华文仿宋"/>
          <w:sz w:val="36"/>
        </w:rPr>
      </w:pPr>
    </w:p>
    <w:p>
      <w:pPr>
        <w:pStyle w:val="14"/>
        <w:rPr>
          <w:rFonts w:ascii="华文仿宋" w:hAnsi="华文仿宋" w:eastAsia="华文仿宋" w:cs="华文仿宋"/>
          <w:sz w:val="36"/>
          <w:highlight w:val="none"/>
        </w:rPr>
      </w:pPr>
      <w:r>
        <w:rPr>
          <w:rFonts w:hint="eastAsia" w:ascii="华文仿宋" w:hAnsi="华文仿宋" w:eastAsia="华文仿宋" w:cs="华文仿宋"/>
          <w:sz w:val="36"/>
          <w:highlight w:val="none"/>
        </w:rPr>
        <w:t>2023年</w:t>
      </w:r>
      <w:r>
        <w:rPr>
          <w:rFonts w:hint="eastAsia" w:ascii="华文仿宋" w:hAnsi="华文仿宋" w:eastAsia="华文仿宋" w:cs="华文仿宋"/>
          <w:sz w:val="36"/>
          <w:highlight w:val="none"/>
          <w:lang w:val="en-US" w:eastAsia="zh-CN"/>
        </w:rPr>
        <w:t>11</w:t>
      </w:r>
      <w:r>
        <w:rPr>
          <w:rFonts w:hint="eastAsia" w:ascii="华文仿宋" w:hAnsi="华文仿宋" w:eastAsia="华文仿宋" w:cs="华文仿宋"/>
          <w:sz w:val="36"/>
          <w:highlight w:val="none"/>
        </w:rPr>
        <w:t>月</w:t>
      </w:r>
      <w:r>
        <w:rPr>
          <w:rFonts w:hint="eastAsia" w:ascii="华文仿宋" w:hAnsi="华文仿宋" w:eastAsia="华文仿宋" w:cs="华文仿宋"/>
          <w:sz w:val="36"/>
          <w:highlight w:val="none"/>
          <w:lang w:val="en-US" w:eastAsia="zh-CN"/>
        </w:rPr>
        <w:t>3</w:t>
      </w:r>
      <w:r>
        <w:rPr>
          <w:rFonts w:hint="eastAsia" w:ascii="华文仿宋" w:hAnsi="华文仿宋" w:eastAsia="华文仿宋" w:cs="华文仿宋"/>
          <w:sz w:val="36"/>
          <w:highlight w:val="none"/>
        </w:rPr>
        <w:t>日</w:t>
      </w:r>
    </w:p>
    <w:p>
      <w:pPr>
        <w:pStyle w:val="14"/>
        <w:rPr>
          <w:rFonts w:ascii="华文仿宋" w:hAnsi="华文仿宋" w:eastAsia="华文仿宋" w:cs="华文仿宋"/>
          <w:sz w:val="36"/>
          <w:highlight w:val="none"/>
        </w:rPr>
      </w:pPr>
    </w:p>
    <w:p>
      <w:pPr>
        <w:pStyle w:val="14"/>
        <w:jc w:val="both"/>
        <w:rPr>
          <w:rFonts w:ascii="宋体" w:hAnsi="宋体" w:eastAsia="宋体" w:cs="宋体"/>
          <w:sz w:val="36"/>
          <w:highlight w:val="none"/>
        </w:rPr>
      </w:pPr>
    </w:p>
    <w:p>
      <w:pPr>
        <w:rPr>
          <w:rFonts w:ascii="华文仿宋" w:hAnsi="华文仿宋" w:cs="华文仿宋"/>
          <w:highlight w:val="none"/>
        </w:rPr>
      </w:pPr>
      <w:r>
        <w:rPr>
          <w:rFonts w:hint="eastAsia" w:ascii="华文仿宋" w:hAnsi="华文仿宋" w:cs="华文仿宋"/>
          <w:highlight w:val="none"/>
        </w:rPr>
        <w:br w:type="page"/>
      </w:r>
    </w:p>
    <w:p>
      <w:pPr>
        <w:pStyle w:val="28"/>
        <w:rPr>
          <w:rFonts w:ascii="宋体" w:hAnsi="宋体" w:eastAsia="宋体" w:cs="宋体"/>
          <w:highlight w:val="none"/>
        </w:rPr>
      </w:pPr>
      <w:r>
        <w:rPr>
          <w:rFonts w:hint="eastAsia" w:ascii="华文仿宋" w:hAnsi="华文仿宋" w:cs="华文仿宋"/>
          <w:highlight w:val="none"/>
        </w:rPr>
        <w:t xml:space="preserve">第一章 </w:t>
      </w:r>
      <w:r>
        <w:rPr>
          <w:rFonts w:hint="eastAsia" w:ascii="华文仿宋" w:hAnsi="华文仿宋" w:cs="华文仿宋"/>
          <w:highlight w:val="none"/>
        </w:rPr>
        <w:tab/>
      </w:r>
      <w:r>
        <w:rPr>
          <w:rFonts w:hint="eastAsia" w:ascii="华文仿宋" w:hAnsi="华文仿宋" w:cs="华文仿宋"/>
          <w:highlight w:val="none"/>
        </w:rPr>
        <w:t>遴选邀请</w:t>
      </w:r>
    </w:p>
    <w:p>
      <w:pPr>
        <w:tabs>
          <w:tab w:val="left" w:pos="3150"/>
        </w:tabs>
        <w:rPr>
          <w:rFonts w:hint="eastAsia" w:ascii="宋体" w:hAnsi="宋体" w:eastAsia="宋体" w:cs="宋体"/>
          <w:sz w:val="24"/>
          <w:highlight w:val="none"/>
          <w:lang w:val="en-US" w:eastAsia="zh-CN"/>
        </w:rPr>
      </w:pPr>
      <w:r>
        <w:rPr>
          <w:rFonts w:hint="eastAsia" w:ascii="宋体" w:hAnsi="宋体" w:cs="宋体"/>
          <w:sz w:val="24"/>
          <w:highlight w:val="none"/>
        </w:rPr>
        <w:t>遴选编号：2023-ETLXXB-004</w:t>
      </w:r>
    </w:p>
    <w:p>
      <w:pPr>
        <w:pStyle w:val="29"/>
        <w:numPr>
          <w:ilvl w:val="0"/>
          <w:numId w:val="2"/>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sz w:val="24"/>
          <w:szCs w:val="24"/>
          <w:highlight w:val="none"/>
        </w:rPr>
        <w:t>根据医院有关规定，经院主管部门批准，拟对</w:t>
      </w:r>
      <w:r>
        <w:rPr>
          <w:rFonts w:hint="eastAsia" w:ascii="宋体" w:hAnsi="宋体" w:eastAsia="宋体" w:cs="宋体"/>
          <w:sz w:val="24"/>
          <w:szCs w:val="24"/>
          <w:highlight w:val="none"/>
          <w:shd w:val="clear" w:color="auto" w:fill="FFFFFF"/>
        </w:rPr>
        <w:t>如下项目以遴选采购的方式进行采购。</w:t>
      </w:r>
    </w:p>
    <w:p>
      <w:pPr>
        <w:pStyle w:val="29"/>
        <w:numPr>
          <w:ilvl w:val="0"/>
          <w:numId w:val="2"/>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19"/>
        <w:tblW w:w="8018" w:type="dxa"/>
        <w:tblInd w:w="534" w:type="dxa"/>
        <w:tblLayout w:type="fixed"/>
        <w:tblCellMar>
          <w:top w:w="0" w:type="dxa"/>
          <w:left w:w="108" w:type="dxa"/>
          <w:bottom w:w="0" w:type="dxa"/>
          <w:right w:w="108" w:type="dxa"/>
        </w:tblCellMar>
      </w:tblPr>
      <w:tblGrid>
        <w:gridCol w:w="705"/>
        <w:gridCol w:w="1845"/>
        <w:gridCol w:w="675"/>
        <w:gridCol w:w="1320"/>
        <w:gridCol w:w="3473"/>
      </w:tblGrid>
      <w:tr>
        <w:tblPrEx>
          <w:tblCellMar>
            <w:top w:w="0" w:type="dxa"/>
            <w:left w:w="108" w:type="dxa"/>
            <w:bottom w:w="0" w:type="dxa"/>
            <w:right w:w="108" w:type="dxa"/>
          </w:tblCellMar>
        </w:tblPrEx>
        <w:trPr>
          <w:trHeight w:val="596" w:hRule="exac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highlight w:val="none"/>
              </w:rPr>
            </w:pPr>
            <w:r>
              <w:rPr>
                <w:rFonts w:hint="eastAsia" w:ascii="宋体" w:hAnsi="宋体"/>
                <w:szCs w:val="21"/>
                <w:highlight w:val="none"/>
              </w:rPr>
              <w:t>包件号</w:t>
            </w:r>
          </w:p>
        </w:tc>
        <w:tc>
          <w:tcPr>
            <w:tcW w:w="18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highlight w:val="none"/>
              </w:rPr>
            </w:pPr>
            <w:r>
              <w:rPr>
                <w:rFonts w:hint="eastAsia" w:ascii="宋体" w:hAnsi="宋体"/>
                <w:szCs w:val="21"/>
                <w:highlight w:val="none"/>
              </w:rPr>
              <w:t>项目名称</w:t>
            </w:r>
          </w:p>
        </w:tc>
        <w:tc>
          <w:tcPr>
            <w:tcW w:w="6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highlight w:val="none"/>
              </w:rPr>
            </w:pPr>
            <w:r>
              <w:rPr>
                <w:rFonts w:hint="eastAsia" w:ascii="宋体" w:hAnsi="宋体"/>
                <w:szCs w:val="21"/>
                <w:highlight w:val="none"/>
              </w:rPr>
              <w:t>数量</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szCs w:val="21"/>
                <w:highlight w:val="none"/>
              </w:rPr>
            </w:pPr>
            <w:r>
              <w:rPr>
                <w:rFonts w:hint="eastAsia" w:ascii="宋体" w:hAnsi="宋体"/>
                <w:szCs w:val="21"/>
                <w:highlight w:val="none"/>
                <w:lang w:val="en-US" w:eastAsia="zh-CN"/>
              </w:rPr>
              <w:t>项目预算</w:t>
            </w:r>
          </w:p>
        </w:tc>
        <w:tc>
          <w:tcPr>
            <w:tcW w:w="34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highlight w:val="none"/>
              </w:rPr>
            </w:pPr>
            <w:r>
              <w:rPr>
                <w:rFonts w:hint="eastAsia" w:ascii="宋体" w:hAnsi="宋体"/>
                <w:szCs w:val="21"/>
                <w:highlight w:val="none"/>
              </w:rPr>
              <w:t>报名链接</w:t>
            </w:r>
          </w:p>
        </w:tc>
      </w:tr>
      <w:tr>
        <w:tblPrEx>
          <w:tblCellMar>
            <w:top w:w="0" w:type="dxa"/>
            <w:left w:w="108" w:type="dxa"/>
            <w:bottom w:w="0" w:type="dxa"/>
            <w:right w:w="108" w:type="dxa"/>
          </w:tblCellMar>
        </w:tblPrEx>
        <w:trPr>
          <w:trHeight w:val="3027" w:hRule="exac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highlight w:val="none"/>
              </w:rPr>
            </w:pPr>
            <w:r>
              <w:rPr>
                <w:rFonts w:hint="eastAsia" w:ascii="宋体" w:hAnsi="宋体"/>
                <w:szCs w:val="21"/>
                <w:highlight w:val="none"/>
              </w:rPr>
              <w:t>01</w:t>
            </w:r>
          </w:p>
        </w:tc>
        <w:tc>
          <w:tcPr>
            <w:tcW w:w="18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FF0000"/>
                <w:szCs w:val="21"/>
                <w:highlight w:val="none"/>
              </w:rPr>
            </w:pPr>
            <w:r>
              <w:rPr>
                <w:rFonts w:hint="eastAsia" w:ascii="宋体" w:hAnsi="宋体"/>
                <w:szCs w:val="21"/>
                <w:highlight w:val="none"/>
              </w:rPr>
              <w:t>重症ICU数字孪生应用平台项目监理服务</w:t>
            </w:r>
          </w:p>
        </w:tc>
        <w:tc>
          <w:tcPr>
            <w:tcW w:w="67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FF0000"/>
                <w:szCs w:val="21"/>
                <w:highlight w:val="none"/>
              </w:rPr>
            </w:pPr>
            <w:r>
              <w:rPr>
                <w:rFonts w:hint="eastAsia" w:ascii="宋体" w:hAnsi="宋体"/>
                <w:szCs w:val="21"/>
                <w:highlight w:val="none"/>
              </w:rPr>
              <w:t>1</w:t>
            </w:r>
          </w:p>
        </w:tc>
        <w:tc>
          <w:tcPr>
            <w:tcW w:w="132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szCs w:val="21"/>
                <w:highlight w:val="none"/>
              </w:rPr>
            </w:pPr>
            <w:r>
              <w:rPr>
                <w:rFonts w:hint="eastAsia" w:ascii="宋体" w:hAnsi="宋体"/>
                <w:szCs w:val="21"/>
                <w:highlight w:val="none"/>
              </w:rPr>
              <w:t>17.88万元</w:t>
            </w:r>
          </w:p>
        </w:tc>
        <w:tc>
          <w:tcPr>
            <w:tcW w:w="347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Cs w:val="21"/>
                <w:highlight w:val="none"/>
              </w:rPr>
            </w:pPr>
            <w:r>
              <w:rPr>
                <w:highlight w:val="none"/>
              </w:rPr>
              <w:drawing>
                <wp:inline distT="0" distB="0" distL="0" distR="0">
                  <wp:extent cx="1184910" cy="1184910"/>
                  <wp:effectExtent l="0" t="0" r="15240" b="15240"/>
                  <wp:docPr id="7" name="图片 7" descr="C:\Users\user\AppData\Local\Temp\WeChat Files\6d5788762d5636685d5869da7573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user\AppData\Local\Temp\WeChat Files\6d5788762d5636685d5869da7573e8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84910" cy="1184910"/>
                          </a:xfrm>
                          <a:prstGeom prst="rect">
                            <a:avLst/>
                          </a:prstGeom>
                          <a:noFill/>
                          <a:ln>
                            <a:noFill/>
                          </a:ln>
                        </pic:spPr>
                      </pic:pic>
                    </a:graphicData>
                  </a:graphic>
                </wp:inline>
              </w:drawing>
            </w:r>
          </w:p>
          <w:p>
            <w:pPr>
              <w:jc w:val="center"/>
              <w:rPr>
                <w:rFonts w:ascii="宋体" w:hAnsi="宋体"/>
                <w:szCs w:val="21"/>
                <w:highlight w:val="none"/>
              </w:rPr>
            </w:pPr>
            <w:r>
              <w:rPr>
                <w:highlight w:val="none"/>
              </w:rPr>
              <w:fldChar w:fldCharType="begin"/>
            </w:r>
            <w:r>
              <w:rPr>
                <w:highlight w:val="none"/>
              </w:rPr>
              <w:instrText xml:space="preserve"> HYPERLINK "https://gysgl.shchildren.com.cn:9088/hospital-supplier/hospital/visit" </w:instrText>
            </w:r>
            <w:r>
              <w:rPr>
                <w:highlight w:val="none"/>
              </w:rPr>
              <w:fldChar w:fldCharType="separate"/>
            </w:r>
            <w:r>
              <w:rPr>
                <w:rStyle w:val="24"/>
                <w:highlight w:val="none"/>
              </w:rPr>
              <w:t>https://gysgl.shchildren.com.cn:9088/hospital-supplier/hospital/visit</w:t>
            </w:r>
            <w:r>
              <w:rPr>
                <w:rStyle w:val="24"/>
                <w:highlight w:val="none"/>
              </w:rPr>
              <w:fldChar w:fldCharType="end"/>
            </w:r>
          </w:p>
        </w:tc>
      </w:tr>
    </w:tbl>
    <w:p>
      <w:pPr>
        <w:pStyle w:val="29"/>
        <w:numPr>
          <w:ilvl w:val="0"/>
          <w:numId w:val="0"/>
        </w:numPr>
        <w:autoSpaceDE w:val="0"/>
        <w:autoSpaceDN w:val="0"/>
        <w:spacing w:line="360" w:lineRule="exact"/>
        <w:ind w:leftChars="0" w:firstLine="420" w:firstLineChars="0"/>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 w:val="0"/>
          <w:bCs/>
          <w:sz w:val="24"/>
          <w:szCs w:val="24"/>
          <w:highlight w:val="none"/>
        </w:rPr>
        <w:t>说明：1、超过预算的投标将被否决</w:t>
      </w:r>
    </w:p>
    <w:p>
      <w:pPr>
        <w:pStyle w:val="29"/>
        <w:numPr>
          <w:ilvl w:val="0"/>
          <w:numId w:val="2"/>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参选人资质要求：</w:t>
      </w:r>
    </w:p>
    <w:p>
      <w:pPr>
        <w:pStyle w:val="29"/>
        <w:numPr>
          <w:ilvl w:val="0"/>
          <w:numId w:val="3"/>
        </w:numPr>
        <w:autoSpaceDE w:val="0"/>
        <w:autoSpaceDN w:val="0"/>
        <w:spacing w:line="360" w:lineRule="exact"/>
        <w:ind w:left="845"/>
        <w:rPr>
          <w:rFonts w:ascii="宋体" w:hAnsi="宋体" w:eastAsia="宋体" w:cs="宋体"/>
          <w:bCs/>
          <w:sz w:val="24"/>
          <w:szCs w:val="24"/>
          <w:highlight w:val="none"/>
        </w:rPr>
      </w:pPr>
      <w:r>
        <w:rPr>
          <w:rFonts w:hint="eastAsia" w:ascii="宋体" w:hAnsi="宋体" w:eastAsia="宋体" w:cs="宋体"/>
          <w:bCs/>
          <w:sz w:val="24"/>
          <w:szCs w:val="24"/>
          <w:highlight w:val="none"/>
        </w:rPr>
        <w:t>参选人为具有合法经营资质的独立法人、其他组织。</w:t>
      </w:r>
    </w:p>
    <w:p>
      <w:pPr>
        <w:pStyle w:val="29"/>
        <w:numPr>
          <w:ilvl w:val="0"/>
          <w:numId w:val="3"/>
        </w:numPr>
        <w:autoSpaceDE w:val="0"/>
        <w:autoSpaceDN w:val="0"/>
        <w:spacing w:line="360" w:lineRule="exact"/>
        <w:ind w:left="845"/>
        <w:rPr>
          <w:rFonts w:ascii="宋体" w:hAnsi="宋体" w:eastAsia="宋体" w:cs="宋体"/>
          <w:bCs/>
          <w:sz w:val="24"/>
          <w:szCs w:val="24"/>
          <w:highlight w:val="none"/>
        </w:rPr>
      </w:pPr>
      <w:r>
        <w:rPr>
          <w:rFonts w:hint="eastAsia" w:ascii="宋体" w:hAnsi="宋体" w:eastAsia="宋体" w:cs="宋体"/>
          <w:bCs/>
          <w:sz w:val="24"/>
          <w:szCs w:val="24"/>
          <w:highlight w:val="none"/>
        </w:rPr>
        <w:t>参选人在参加采购活动前三年内，在经营活动中没有重大违法记录，并提交《无重大违法记录承诺书》。</w:t>
      </w:r>
    </w:p>
    <w:p>
      <w:pPr>
        <w:pStyle w:val="29"/>
        <w:numPr>
          <w:ilvl w:val="0"/>
          <w:numId w:val="3"/>
        </w:numPr>
        <w:autoSpaceDE w:val="0"/>
        <w:autoSpaceDN w:val="0"/>
        <w:spacing w:line="360" w:lineRule="exact"/>
        <w:ind w:left="845"/>
        <w:rPr>
          <w:rFonts w:ascii="宋体" w:hAnsi="宋体" w:eastAsia="宋体" w:cs="宋体"/>
          <w:sz w:val="24"/>
          <w:szCs w:val="24"/>
          <w:highlight w:val="none"/>
        </w:rPr>
      </w:pPr>
      <w:r>
        <w:rPr>
          <w:rFonts w:hint="eastAsia" w:ascii="宋体" w:hAnsi="宋体" w:eastAsia="宋体" w:cs="宋体"/>
          <w:bCs/>
          <w:sz w:val="24"/>
          <w:szCs w:val="24"/>
          <w:highlight w:val="none"/>
        </w:rPr>
        <w:t>参选人未被“信用中国”网站(www.creditchina.gov.cn)列入失信被执行人名单、重大税收违法案件当事人名单。</w:t>
      </w:r>
    </w:p>
    <w:p>
      <w:pPr>
        <w:pStyle w:val="29"/>
        <w:numPr>
          <w:ilvl w:val="0"/>
          <w:numId w:val="2"/>
        </w:numPr>
        <w:autoSpaceDE w:val="0"/>
        <w:autoSpaceDN w:val="0"/>
        <w:spacing w:line="360" w:lineRule="exact"/>
        <w:jc w:val="left"/>
        <w:rPr>
          <w:rFonts w:ascii="宋体" w:hAnsi="宋体" w:eastAsia="宋体" w:cs="宋体"/>
          <w:b/>
          <w:sz w:val="24"/>
          <w:szCs w:val="24"/>
          <w:highlight w:val="none"/>
        </w:rPr>
      </w:pPr>
      <w:bookmarkStart w:id="0" w:name="_Toc461613010"/>
      <w:bookmarkStart w:id="1" w:name="_Toc461613082"/>
      <w:r>
        <w:rPr>
          <w:rFonts w:hint="eastAsia" w:ascii="宋体" w:hAnsi="宋体" w:eastAsia="宋体" w:cs="宋体"/>
          <w:b/>
          <w:sz w:val="24"/>
          <w:szCs w:val="24"/>
          <w:highlight w:val="none"/>
        </w:rPr>
        <w:t>参选文件要求</w:t>
      </w:r>
    </w:p>
    <w:p>
      <w:pPr>
        <w:pStyle w:val="29"/>
        <w:autoSpaceDE w:val="0"/>
        <w:autoSpaceDN w:val="0"/>
        <w:spacing w:line="360" w:lineRule="exact"/>
        <w:rPr>
          <w:rFonts w:ascii="宋体" w:hAnsi="宋体" w:eastAsia="宋体" w:cs="宋体"/>
          <w:b/>
          <w:bCs/>
          <w:color w:val="FF0000"/>
          <w:sz w:val="24"/>
          <w:szCs w:val="24"/>
          <w:highlight w:val="none"/>
        </w:rPr>
      </w:pPr>
      <w:r>
        <w:rPr>
          <w:rFonts w:hint="eastAsia" w:ascii="宋体" w:hAnsi="宋体" w:eastAsia="宋体" w:cs="宋体"/>
          <w:sz w:val="24"/>
          <w:szCs w:val="24"/>
          <w:highlight w:val="none"/>
          <w:lang w:val="en-US" w:eastAsia="zh-CN"/>
        </w:rPr>
        <w:t>4.1 报名要求：</w:t>
      </w:r>
      <w:r>
        <w:rPr>
          <w:rFonts w:hint="eastAsia" w:ascii="宋体" w:hAnsi="宋体" w:eastAsia="宋体" w:cs="宋体"/>
          <w:sz w:val="24"/>
          <w:szCs w:val="24"/>
          <w:highlight w:val="none"/>
        </w:rPr>
        <w:t>有兴趣的潜在参选人请于</w:t>
      </w:r>
      <w:r>
        <w:rPr>
          <w:rFonts w:hint="eastAsia" w:ascii="宋体" w:hAnsi="宋体" w:eastAsia="宋体" w:cs="宋体"/>
          <w:b/>
          <w:color w:val="FF0000"/>
          <w:sz w:val="24"/>
          <w:szCs w:val="24"/>
          <w:highlight w:val="none"/>
        </w:rPr>
        <w:t>2023年</w:t>
      </w:r>
      <w:r>
        <w:rPr>
          <w:rFonts w:hint="eastAsia" w:ascii="宋体" w:hAnsi="宋体" w:eastAsia="宋体"/>
          <w:b/>
          <w:color w:val="FF0000"/>
          <w:sz w:val="24"/>
          <w:szCs w:val="24"/>
          <w:highlight w:val="none"/>
          <w:lang w:val="en-US" w:eastAsia="zh-CN"/>
        </w:rPr>
        <w:t>11</w:t>
      </w:r>
      <w:r>
        <w:rPr>
          <w:rFonts w:hint="eastAsia" w:ascii="宋体" w:hAnsi="宋体" w:eastAsia="宋体" w:cs="宋体"/>
          <w:b/>
          <w:color w:val="FF0000"/>
          <w:sz w:val="24"/>
          <w:szCs w:val="24"/>
          <w:highlight w:val="none"/>
        </w:rPr>
        <w:t>月</w:t>
      </w:r>
      <w:r>
        <w:rPr>
          <w:rFonts w:hint="eastAsia" w:ascii="宋体" w:hAnsi="宋体" w:eastAsia="宋体"/>
          <w:b/>
          <w:color w:val="FF0000"/>
          <w:sz w:val="24"/>
          <w:szCs w:val="24"/>
          <w:highlight w:val="none"/>
          <w:lang w:val="en-US" w:eastAsia="zh-CN"/>
        </w:rPr>
        <w:t>3</w:t>
      </w:r>
      <w:r>
        <w:rPr>
          <w:rFonts w:hint="eastAsia" w:ascii="宋体" w:hAnsi="宋体" w:eastAsia="宋体" w:cs="宋体"/>
          <w:b/>
          <w:color w:val="FF0000"/>
          <w:sz w:val="24"/>
          <w:szCs w:val="24"/>
          <w:highlight w:val="none"/>
        </w:rPr>
        <w:t>日起至2023年</w:t>
      </w:r>
      <w:r>
        <w:rPr>
          <w:rFonts w:hint="eastAsia" w:ascii="宋体" w:hAnsi="宋体" w:eastAsia="宋体"/>
          <w:b/>
          <w:color w:val="FF0000"/>
          <w:sz w:val="24"/>
          <w:szCs w:val="24"/>
          <w:highlight w:val="none"/>
          <w:lang w:val="en-US" w:eastAsia="zh-CN"/>
        </w:rPr>
        <w:t>11</w:t>
      </w:r>
      <w:r>
        <w:rPr>
          <w:rFonts w:hint="eastAsia" w:ascii="宋体" w:hAnsi="宋体" w:eastAsia="宋体" w:cs="宋体"/>
          <w:b/>
          <w:color w:val="FF0000"/>
          <w:sz w:val="24"/>
          <w:szCs w:val="24"/>
          <w:highlight w:val="none"/>
        </w:rPr>
        <w:t>月</w:t>
      </w:r>
      <w:r>
        <w:rPr>
          <w:rFonts w:hint="eastAsia" w:ascii="宋体" w:hAnsi="宋体" w:eastAsia="宋体"/>
          <w:b/>
          <w:color w:val="FF0000"/>
          <w:sz w:val="24"/>
          <w:szCs w:val="24"/>
          <w:highlight w:val="none"/>
          <w:lang w:val="en-US" w:eastAsia="zh-CN"/>
        </w:rPr>
        <w:t>10</w:t>
      </w:r>
      <w:r>
        <w:rPr>
          <w:rFonts w:hint="eastAsia" w:ascii="宋体" w:hAnsi="宋体" w:eastAsia="宋体" w:cs="宋体"/>
          <w:b/>
          <w:color w:val="FF0000"/>
          <w:sz w:val="24"/>
          <w:szCs w:val="24"/>
          <w:highlight w:val="none"/>
        </w:rPr>
        <w:t>日</w:t>
      </w:r>
      <w:r>
        <w:rPr>
          <w:rFonts w:hint="eastAsia" w:ascii="宋体" w:hAnsi="宋体" w:eastAsia="宋体" w:cs="宋体"/>
          <w:b/>
          <w:bCs/>
          <w:color w:val="FF0000"/>
          <w:sz w:val="24"/>
          <w:szCs w:val="24"/>
          <w:highlight w:val="none"/>
        </w:rPr>
        <w:t>止每天8：00-16：30（北京时间）</w:t>
      </w:r>
      <w:r>
        <w:rPr>
          <w:rFonts w:hint="eastAsia" w:ascii="宋体" w:hAnsi="宋体" w:eastAsia="宋体" w:cs="宋体"/>
          <w:sz w:val="24"/>
          <w:szCs w:val="24"/>
          <w:highlight w:val="none"/>
        </w:rPr>
        <w:t>在上海市儿童医院官网中“医疗动态”栏的“招标公示”界面下(https://www.shchildren.com.cn/channels/641.html)自行下载遴选文件并按照参选项目对应的</w:t>
      </w:r>
      <w:r>
        <w:rPr>
          <w:rFonts w:hint="eastAsia" w:ascii="宋体" w:hAnsi="宋体" w:eastAsia="宋体" w:cs="宋体"/>
          <w:sz w:val="24"/>
          <w:szCs w:val="24"/>
          <w:highlight w:val="none"/>
          <w:u w:val="single"/>
        </w:rPr>
        <w:t>二维码</w:t>
      </w:r>
      <w:r>
        <w:rPr>
          <w:rFonts w:hint="eastAsia" w:ascii="宋体" w:hAnsi="宋体" w:eastAsia="宋体" w:cs="宋体"/>
          <w:sz w:val="24"/>
          <w:szCs w:val="24"/>
          <w:highlight w:val="none"/>
        </w:rPr>
        <w:t>或</w:t>
      </w:r>
      <w:r>
        <w:rPr>
          <w:rFonts w:hint="eastAsia" w:ascii="宋体" w:hAnsi="宋体" w:eastAsia="宋体" w:cs="宋体"/>
          <w:sz w:val="24"/>
          <w:szCs w:val="24"/>
          <w:highlight w:val="none"/>
          <w:u w:val="single"/>
        </w:rPr>
        <w:t>报名链接</w:t>
      </w:r>
      <w:r>
        <w:rPr>
          <w:rFonts w:hint="eastAsia" w:ascii="宋体" w:hAnsi="宋体" w:eastAsia="宋体" w:cs="宋体"/>
          <w:sz w:val="24"/>
          <w:szCs w:val="24"/>
          <w:highlight w:val="none"/>
        </w:rPr>
        <w:t>完成</w:t>
      </w:r>
      <w:r>
        <w:rPr>
          <w:rFonts w:hint="eastAsia" w:ascii="宋体" w:hAnsi="宋体" w:eastAsia="宋体"/>
          <w:sz w:val="24"/>
          <w:szCs w:val="24"/>
          <w:highlight w:val="none"/>
        </w:rPr>
        <w:t>“预约登记”</w:t>
      </w:r>
      <w:r>
        <w:rPr>
          <w:rFonts w:hint="eastAsia" w:ascii="宋体" w:hAnsi="宋体" w:eastAsia="宋体" w:cs="宋体"/>
          <w:sz w:val="24"/>
          <w:szCs w:val="24"/>
          <w:highlight w:val="none"/>
        </w:rPr>
        <w:t>，</w:t>
      </w:r>
      <w:r>
        <w:rPr>
          <w:rFonts w:hint="eastAsia" w:ascii="宋体" w:hAnsi="宋体" w:eastAsia="宋体"/>
          <w:sz w:val="24"/>
          <w:szCs w:val="24"/>
          <w:highlight w:val="none"/>
        </w:rPr>
        <w:t>访问部门</w:t>
      </w:r>
      <w:r>
        <w:rPr>
          <w:rFonts w:hint="eastAsia" w:ascii="宋体" w:hAnsi="宋体" w:eastAsia="宋体" w:cs="宋体"/>
          <w:sz w:val="24"/>
          <w:szCs w:val="24"/>
          <w:highlight w:val="none"/>
        </w:rPr>
        <w:t>请选择</w:t>
      </w:r>
      <w:r>
        <w:rPr>
          <w:rFonts w:hint="eastAsia" w:ascii="宋体" w:hAnsi="宋体" w:eastAsia="宋体" w:cs="宋体"/>
          <w:sz w:val="24"/>
          <w:szCs w:val="24"/>
          <w:highlight w:val="none"/>
          <w:u w:val="single"/>
        </w:rPr>
        <w:t>“采购中心”</w:t>
      </w:r>
      <w:r>
        <w:rPr>
          <w:rFonts w:hint="eastAsia" w:ascii="宋体" w:hAnsi="宋体" w:eastAsia="宋体" w:cs="宋体"/>
          <w:sz w:val="24"/>
          <w:szCs w:val="24"/>
          <w:highlight w:val="none"/>
        </w:rPr>
        <w:t>。</w:t>
      </w:r>
      <w:r>
        <w:rPr>
          <w:rFonts w:hint="eastAsia" w:ascii="宋体" w:hAnsi="宋体" w:eastAsia="宋体" w:cs="宋体"/>
          <w:b/>
          <w:bCs/>
          <w:color w:val="FF0000"/>
          <w:sz w:val="24"/>
          <w:szCs w:val="24"/>
          <w:highlight w:val="none"/>
        </w:rPr>
        <w:t>请务必于截至时间前按要求完成“预约登记”，未完成登记的参选人参选将被否决。</w:t>
      </w:r>
    </w:p>
    <w:p>
      <w:pPr>
        <w:pStyle w:val="29"/>
        <w:autoSpaceDE w:val="0"/>
        <w:autoSpaceDN w:val="0"/>
        <w:spacing w:line="360" w:lineRule="exact"/>
        <w:ind w:left="0" w:firstLine="0"/>
        <w:jc w:val="left"/>
        <w:rPr>
          <w:rFonts w:ascii="宋体" w:hAnsi="宋体" w:eastAsia="宋体" w:cs="宋体"/>
          <w:sz w:val="24"/>
          <w:szCs w:val="24"/>
          <w:highlight w:val="none"/>
        </w:rPr>
      </w:pPr>
      <w:r>
        <w:rPr>
          <w:rFonts w:hint="eastAsia" w:ascii="宋体" w:hAnsi="宋体" w:eastAsia="宋体"/>
          <w:sz w:val="24"/>
          <w:szCs w:val="24"/>
          <w:highlight w:val="none"/>
        </w:rPr>
        <w:t>4.</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参选</w:t>
      </w:r>
      <w:r>
        <w:rPr>
          <w:rFonts w:hint="eastAsia" w:ascii="宋体" w:hAnsi="宋体" w:eastAsia="宋体"/>
          <w:sz w:val="24"/>
          <w:szCs w:val="24"/>
          <w:highlight w:val="none"/>
        </w:rPr>
        <w:t>文件应包括但不限于如下内容：</w:t>
      </w:r>
    </w:p>
    <w:p>
      <w:pPr>
        <w:pStyle w:val="29"/>
        <w:numPr>
          <w:ilvl w:val="0"/>
          <w:numId w:val="4"/>
        </w:numPr>
        <w:autoSpaceDE w:val="0"/>
        <w:autoSpaceDN w:val="0"/>
        <w:spacing w:line="360" w:lineRule="exact"/>
        <w:ind w:left="840" w:hanging="420"/>
        <w:rPr>
          <w:rFonts w:ascii="宋体" w:hAnsi="宋体" w:eastAsia="宋体" w:cs="宋体"/>
          <w:sz w:val="24"/>
          <w:szCs w:val="24"/>
          <w:highlight w:val="none"/>
        </w:rPr>
      </w:pPr>
      <w:r>
        <w:rPr>
          <w:rFonts w:hint="eastAsia" w:ascii="宋体" w:hAnsi="宋体" w:eastAsia="宋体" w:cs="宋体"/>
          <w:bCs/>
          <w:sz w:val="24"/>
          <w:szCs w:val="24"/>
          <w:highlight w:val="none"/>
        </w:rPr>
        <w:t>报价一览表</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（格式见第三章）；</w:t>
      </w:r>
    </w:p>
    <w:p>
      <w:pPr>
        <w:pStyle w:val="29"/>
        <w:numPr>
          <w:ilvl w:val="0"/>
          <w:numId w:val="4"/>
        </w:numPr>
        <w:autoSpaceDE w:val="0"/>
        <w:autoSpaceDN w:val="0"/>
        <w:spacing w:line="360" w:lineRule="exact"/>
        <w:ind w:left="840" w:hanging="420"/>
        <w:rPr>
          <w:rFonts w:ascii="宋体" w:hAnsi="宋体" w:eastAsia="宋体" w:cs="宋体"/>
          <w:sz w:val="24"/>
          <w:szCs w:val="24"/>
          <w:highlight w:val="none"/>
        </w:rPr>
      </w:pPr>
      <w:r>
        <w:rPr>
          <w:rFonts w:hint="eastAsia" w:ascii="宋体" w:hAnsi="宋体" w:eastAsia="宋体"/>
          <w:sz w:val="24"/>
          <w:szCs w:val="24"/>
          <w:highlight w:val="none"/>
        </w:rPr>
        <w:t>资格审查响应表</w:t>
      </w:r>
      <w:r>
        <w:rPr>
          <w:rFonts w:hint="eastAsia" w:ascii="宋体" w:hAnsi="宋体" w:eastAsia="宋体" w:cs="宋体"/>
          <w:sz w:val="24"/>
          <w:szCs w:val="24"/>
          <w:highlight w:val="none"/>
        </w:rPr>
        <w:t>（格式见第三章）；</w:t>
      </w:r>
    </w:p>
    <w:p>
      <w:pPr>
        <w:pStyle w:val="29"/>
        <w:numPr>
          <w:ilvl w:val="0"/>
          <w:numId w:val="4"/>
        </w:numPr>
        <w:autoSpaceDE w:val="0"/>
        <w:autoSpaceDN w:val="0"/>
        <w:spacing w:line="360" w:lineRule="exact"/>
        <w:ind w:left="840" w:hanging="420"/>
        <w:rPr>
          <w:rFonts w:ascii="宋体" w:hAnsi="宋体" w:eastAsia="宋体" w:cs="宋体"/>
          <w:sz w:val="24"/>
          <w:szCs w:val="24"/>
          <w:highlight w:val="none"/>
        </w:rPr>
      </w:pPr>
      <w:r>
        <w:rPr>
          <w:rFonts w:hint="eastAsia" w:ascii="宋体" w:hAnsi="宋体" w:eastAsia="宋体"/>
          <w:sz w:val="24"/>
          <w:szCs w:val="24"/>
          <w:highlight w:val="none"/>
        </w:rPr>
        <w:t>符合性审查响应表</w:t>
      </w:r>
      <w:r>
        <w:rPr>
          <w:rFonts w:hint="eastAsia" w:ascii="宋体" w:hAnsi="宋体" w:eastAsia="宋体" w:cs="宋体"/>
          <w:sz w:val="24"/>
          <w:szCs w:val="24"/>
          <w:highlight w:val="none"/>
        </w:rPr>
        <w:t>（格式见第三章）</w:t>
      </w:r>
      <w:r>
        <w:rPr>
          <w:rFonts w:hint="eastAsia" w:ascii="宋体" w:hAnsi="宋体" w:eastAsia="宋体"/>
          <w:sz w:val="24"/>
          <w:szCs w:val="24"/>
          <w:highlight w:val="none"/>
        </w:rPr>
        <w:t>；</w:t>
      </w:r>
    </w:p>
    <w:p>
      <w:pPr>
        <w:pStyle w:val="29"/>
        <w:numPr>
          <w:ilvl w:val="0"/>
          <w:numId w:val="4"/>
        </w:numPr>
        <w:autoSpaceDE w:val="0"/>
        <w:autoSpaceDN w:val="0"/>
        <w:spacing w:line="360" w:lineRule="exact"/>
        <w:ind w:left="840" w:hanging="420"/>
        <w:rPr>
          <w:rFonts w:ascii="宋体" w:hAnsi="宋体" w:eastAsia="宋体" w:cs="宋体"/>
          <w:sz w:val="24"/>
          <w:szCs w:val="24"/>
          <w:highlight w:val="none"/>
        </w:rPr>
      </w:pPr>
      <w:r>
        <w:rPr>
          <w:rFonts w:hint="eastAsia" w:ascii="宋体" w:hAnsi="宋体" w:eastAsia="宋体"/>
          <w:sz w:val="24"/>
          <w:szCs w:val="24"/>
          <w:highlight w:val="none"/>
        </w:rPr>
        <w:t>资格证明文件</w:t>
      </w:r>
      <w:r>
        <w:rPr>
          <w:rFonts w:hint="eastAsia" w:ascii="宋体" w:hAnsi="宋体" w:eastAsia="宋体" w:cs="宋体"/>
          <w:sz w:val="24"/>
          <w:szCs w:val="24"/>
          <w:highlight w:val="none"/>
        </w:rPr>
        <w:t>（格式见第三章）</w:t>
      </w:r>
      <w:r>
        <w:rPr>
          <w:rFonts w:hint="eastAsia" w:ascii="宋体" w:hAnsi="宋体" w:eastAsia="宋体"/>
          <w:sz w:val="24"/>
          <w:szCs w:val="24"/>
          <w:highlight w:val="none"/>
        </w:rPr>
        <w:t>；</w:t>
      </w:r>
    </w:p>
    <w:p>
      <w:pPr>
        <w:pStyle w:val="29"/>
        <w:numPr>
          <w:ilvl w:val="0"/>
          <w:numId w:val="4"/>
        </w:numPr>
        <w:autoSpaceDE w:val="0"/>
        <w:autoSpaceDN w:val="0"/>
        <w:spacing w:line="360" w:lineRule="exact"/>
        <w:ind w:left="840" w:hanging="420"/>
        <w:rPr>
          <w:rFonts w:ascii="宋体" w:hAnsi="宋体" w:eastAsia="宋体" w:cs="宋体"/>
          <w:sz w:val="24"/>
          <w:szCs w:val="24"/>
          <w:highlight w:val="none"/>
        </w:rPr>
      </w:pPr>
      <w:r>
        <w:rPr>
          <w:rFonts w:hint="eastAsia" w:ascii="宋体" w:hAnsi="宋体" w:eastAsia="宋体"/>
          <w:sz w:val="24"/>
          <w:szCs w:val="24"/>
          <w:highlight w:val="none"/>
        </w:rPr>
        <w:t>技术规格偏离表</w:t>
      </w:r>
      <w:r>
        <w:rPr>
          <w:rFonts w:hint="eastAsia" w:ascii="宋体" w:hAnsi="宋体" w:eastAsia="宋体" w:cs="宋体"/>
          <w:sz w:val="24"/>
          <w:szCs w:val="24"/>
          <w:highlight w:val="none"/>
        </w:rPr>
        <w:t>（格式见第三章）</w:t>
      </w:r>
      <w:r>
        <w:rPr>
          <w:rFonts w:hint="eastAsia" w:ascii="宋体" w:hAnsi="宋体" w:eastAsia="宋体"/>
          <w:sz w:val="24"/>
          <w:szCs w:val="24"/>
          <w:highlight w:val="none"/>
        </w:rPr>
        <w:t>；</w:t>
      </w:r>
    </w:p>
    <w:p>
      <w:pPr>
        <w:pStyle w:val="29"/>
        <w:numPr>
          <w:ilvl w:val="0"/>
          <w:numId w:val="4"/>
        </w:numPr>
        <w:autoSpaceDE w:val="0"/>
        <w:autoSpaceDN w:val="0"/>
        <w:spacing w:line="360" w:lineRule="exact"/>
        <w:ind w:left="840" w:hanging="420"/>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服务方案：包括总体解决方案、实施计划、项目管理计划、质量保证计划、项目风险控制措施、服务能力介绍、售后服务方案等（格式自拟）；</w:t>
      </w:r>
    </w:p>
    <w:p>
      <w:pPr>
        <w:pStyle w:val="29"/>
        <w:numPr>
          <w:ilvl w:val="0"/>
          <w:numId w:val="4"/>
        </w:numPr>
        <w:autoSpaceDE w:val="0"/>
        <w:autoSpaceDN w:val="0"/>
        <w:spacing w:line="360" w:lineRule="exact"/>
        <w:ind w:left="840" w:hanging="420"/>
        <w:rPr>
          <w:rFonts w:ascii="宋体" w:hAnsi="宋体" w:eastAsia="宋体" w:cs="宋体"/>
          <w:sz w:val="24"/>
          <w:szCs w:val="24"/>
          <w:highlight w:val="none"/>
        </w:rPr>
      </w:pPr>
      <w:r>
        <w:rPr>
          <w:rFonts w:hint="eastAsia" w:ascii="宋体" w:hAnsi="宋体" w:eastAsia="宋体" w:cs="宋体"/>
          <w:sz w:val="24"/>
          <w:szCs w:val="24"/>
          <w:highlight w:val="none"/>
        </w:rPr>
        <w:t>售后服务承诺书：提供售后服务、服务质量承诺书，请写明服务内容、服务响应时间等（格式自拟）；</w:t>
      </w:r>
    </w:p>
    <w:p>
      <w:pPr>
        <w:pStyle w:val="29"/>
        <w:numPr>
          <w:ilvl w:val="0"/>
          <w:numId w:val="4"/>
        </w:numPr>
        <w:autoSpaceDE w:val="0"/>
        <w:autoSpaceDN w:val="0"/>
        <w:spacing w:line="360" w:lineRule="exact"/>
        <w:ind w:left="840" w:hanging="420"/>
        <w:rPr>
          <w:rFonts w:ascii="宋体" w:hAnsi="宋体" w:eastAsia="宋体" w:cs="宋体"/>
          <w:sz w:val="24"/>
          <w:szCs w:val="24"/>
          <w:highlight w:val="none"/>
        </w:rPr>
      </w:pPr>
      <w:r>
        <w:rPr>
          <w:rFonts w:hint="eastAsia" w:ascii="宋体" w:hAnsi="宋体" w:eastAsia="宋体" w:cs="宋体"/>
          <w:sz w:val="24"/>
          <w:szCs w:val="24"/>
          <w:highlight w:val="none"/>
        </w:rPr>
        <w:t>用户名单：近3年以来参选人承接的同类项目案例的用户名单，并提供联系人及联系方式（附合同摘要）（格式见第三章）；</w:t>
      </w:r>
    </w:p>
    <w:p>
      <w:pPr>
        <w:pStyle w:val="29"/>
        <w:numPr>
          <w:ilvl w:val="0"/>
          <w:numId w:val="4"/>
        </w:numPr>
        <w:autoSpaceDE w:val="0"/>
        <w:autoSpaceDN w:val="0"/>
        <w:spacing w:line="360" w:lineRule="exact"/>
        <w:ind w:left="840" w:hanging="420"/>
        <w:rPr>
          <w:rFonts w:ascii="宋体" w:hAnsi="宋体" w:eastAsia="宋体" w:cs="宋体"/>
          <w:sz w:val="24"/>
          <w:szCs w:val="24"/>
          <w:highlight w:val="none"/>
        </w:rPr>
      </w:pPr>
      <w:r>
        <w:rPr>
          <w:rFonts w:hint="eastAsia" w:ascii="宋体" w:hAnsi="宋体" w:eastAsia="宋体" w:cs="宋体"/>
          <w:sz w:val="24"/>
          <w:szCs w:val="24"/>
          <w:highlight w:val="none"/>
        </w:rPr>
        <w:t>参选人认为有必要说明的其他文件。</w:t>
      </w:r>
    </w:p>
    <w:p>
      <w:pPr>
        <w:pStyle w:val="29"/>
        <w:autoSpaceDE w:val="0"/>
        <w:autoSpaceDN w:val="0"/>
        <w:spacing w:line="360" w:lineRule="exact"/>
        <w:ind w:left="0" w:firstLine="0"/>
        <w:jc w:val="left"/>
        <w:rPr>
          <w:rFonts w:ascii="宋体" w:hAnsi="宋体" w:eastAsia="宋体"/>
          <w:sz w:val="24"/>
          <w:szCs w:val="24"/>
          <w:highlight w:val="none"/>
        </w:rPr>
      </w:pPr>
      <w:r>
        <w:rPr>
          <w:rFonts w:hint="eastAsia" w:ascii="宋体" w:hAnsi="宋体" w:eastAsia="宋体"/>
          <w:sz w:val="24"/>
          <w:szCs w:val="24"/>
          <w:highlight w:val="none"/>
        </w:rPr>
        <w:t>4.</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参选</w:t>
      </w:r>
      <w:r>
        <w:rPr>
          <w:rFonts w:hint="eastAsia" w:ascii="宋体" w:hAnsi="宋体" w:eastAsia="宋体"/>
          <w:sz w:val="24"/>
          <w:szCs w:val="24"/>
          <w:highlight w:val="none"/>
        </w:rPr>
        <w:t>文件要求</w:t>
      </w:r>
    </w:p>
    <w:p>
      <w:pPr>
        <w:pStyle w:val="29"/>
        <w:numPr>
          <w:ilvl w:val="0"/>
          <w:numId w:val="5"/>
        </w:numPr>
        <w:autoSpaceDE w:val="0"/>
        <w:autoSpaceDN w:val="0"/>
        <w:spacing w:line="360" w:lineRule="exact"/>
        <w:ind w:left="845"/>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密封要求：遴选响应文件须逐页盖公章，须排版胶装且须以档案袋密封,密封处加盖公司骑缝公章,且非格式报价单、开口报价单均无效,不符合以上要求的资料一律作为无效资料处理,不具备遴选资格。</w:t>
      </w:r>
    </w:p>
    <w:p>
      <w:pPr>
        <w:pStyle w:val="29"/>
        <w:numPr>
          <w:ilvl w:val="0"/>
          <w:numId w:val="5"/>
        </w:numPr>
        <w:autoSpaceDE w:val="0"/>
        <w:autoSpaceDN w:val="0"/>
        <w:spacing w:line="360" w:lineRule="exact"/>
        <w:ind w:left="845"/>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档案袋封面及遴选文件首页须标注清楚参与项目的遴选编号、包件号、项目名称、公司名称、联系人及电话等。</w:t>
      </w:r>
    </w:p>
    <w:p>
      <w:pPr>
        <w:pStyle w:val="29"/>
        <w:numPr>
          <w:ilvl w:val="0"/>
          <w:numId w:val="5"/>
        </w:numPr>
        <w:autoSpaceDE w:val="0"/>
        <w:autoSpaceDN w:val="0"/>
        <w:spacing w:line="360" w:lineRule="exact"/>
        <w:ind w:left="845"/>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遴选响应文件的份数：纸质正本1份，盖章电子版1份（全套参选文件正本（加盖公章）的PDF格式扫描件）；电子版文件请按照“遴选编号-包件号-项目名称-公司名称-参选文件”命名，开标后发送至邮箱</w:t>
      </w:r>
      <w:r>
        <w:rPr>
          <w:rFonts w:ascii="宋体"/>
          <w:szCs w:val="21"/>
          <w:highlight w:val="none"/>
        </w:rPr>
        <w:fldChar w:fldCharType="begin"/>
      </w:r>
      <w:r>
        <w:rPr>
          <w:rFonts w:ascii="宋体"/>
          <w:szCs w:val="21"/>
          <w:highlight w:val="none"/>
        </w:rPr>
        <w:instrText xml:space="preserve"> HYPERLINK "mailto:liyi@shchildren.com.cn" </w:instrText>
      </w:r>
      <w:r>
        <w:rPr>
          <w:rFonts w:ascii="宋体"/>
          <w:szCs w:val="21"/>
          <w:highlight w:val="none"/>
        </w:rPr>
        <w:fldChar w:fldCharType="separate"/>
      </w:r>
      <w:r>
        <w:rPr>
          <w:rStyle w:val="24"/>
          <w:rFonts w:ascii="宋体"/>
          <w:szCs w:val="21"/>
          <w:highlight w:val="none"/>
        </w:rPr>
        <w:t>liyi@shchildren.com.cn</w:t>
      </w:r>
      <w:r>
        <w:rPr>
          <w:rFonts w:ascii="宋体"/>
          <w:szCs w:val="21"/>
          <w:highlight w:val="none"/>
        </w:rPr>
        <w:fldChar w:fldCharType="end"/>
      </w:r>
      <w:r>
        <w:rPr>
          <w:rFonts w:hint="eastAsia" w:ascii="宋体" w:hAnsi="宋体" w:eastAsia="宋体" w:cs="宋体"/>
          <w:bCs/>
          <w:sz w:val="24"/>
          <w:szCs w:val="24"/>
          <w:highlight w:val="none"/>
          <w:lang w:val="en-US" w:eastAsia="zh-CN"/>
        </w:rPr>
        <w:t>）。</w:t>
      </w:r>
    </w:p>
    <w:p>
      <w:pPr>
        <w:pStyle w:val="29"/>
        <w:numPr>
          <w:ilvl w:val="0"/>
          <w:numId w:val="0"/>
        </w:numPr>
        <w:autoSpaceDE w:val="0"/>
        <w:autoSpaceDN w:val="0"/>
        <w:spacing w:line="360" w:lineRule="exact"/>
        <w:ind w:left="420" w:left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上海市儿童医院-采购中心</w:t>
      </w:r>
    </w:p>
    <w:p>
      <w:pPr>
        <w:pStyle w:val="29"/>
        <w:autoSpaceDE w:val="0"/>
        <w:autoSpaceDN w:val="0"/>
        <w:spacing w:line="360" w:lineRule="exact"/>
        <w:ind w:leftChars="200" w:firstLine="0"/>
        <w:rPr>
          <w:rFonts w:ascii="宋体" w:hAnsi="宋体" w:eastAsia="宋体" w:cs="宋体"/>
          <w:sz w:val="24"/>
          <w:szCs w:val="24"/>
          <w:highlight w:val="none"/>
        </w:rPr>
      </w:pPr>
      <w:bookmarkStart w:id="2" w:name="OLE_LINK16"/>
      <w:bookmarkStart w:id="3" w:name="OLE_LINK11"/>
      <w:r>
        <w:rPr>
          <w:rFonts w:hint="eastAsia" w:ascii="宋体" w:hAnsi="宋体" w:eastAsia="宋体" w:cs="宋体"/>
          <w:sz w:val="24"/>
          <w:szCs w:val="24"/>
          <w:highlight w:val="none"/>
        </w:rPr>
        <w:t>地址：</w:t>
      </w:r>
      <w:bookmarkStart w:id="4" w:name="OLE_LINK13"/>
      <w:r>
        <w:rPr>
          <w:rFonts w:hint="eastAsia" w:ascii="宋体" w:hAnsi="宋体" w:eastAsia="宋体" w:cs="宋体"/>
          <w:sz w:val="24"/>
          <w:szCs w:val="24"/>
          <w:highlight w:val="none"/>
        </w:rPr>
        <w:t>上海市普陀区泸定路355号</w:t>
      </w:r>
    </w:p>
    <w:p>
      <w:pPr>
        <w:pStyle w:val="29"/>
        <w:autoSpaceDE w:val="0"/>
        <w:autoSpaceDN w:val="0"/>
        <w:spacing w:line="360" w:lineRule="exact"/>
        <w:ind w:leftChars="200" w:firstLine="0"/>
        <w:rPr>
          <w:rFonts w:ascii="宋体" w:hAnsi="宋体" w:eastAsia="宋体" w:cs="宋体"/>
          <w:sz w:val="24"/>
          <w:szCs w:val="24"/>
          <w:highlight w:val="none"/>
        </w:rPr>
      </w:pPr>
      <w:bookmarkStart w:id="5" w:name="OLE_LINK129"/>
      <w:r>
        <w:rPr>
          <w:rFonts w:hint="eastAsia" w:ascii="宋体" w:hAnsi="宋体" w:eastAsia="宋体" w:cs="宋体"/>
          <w:sz w:val="24"/>
          <w:szCs w:val="24"/>
          <w:highlight w:val="none"/>
        </w:rPr>
        <w:t>邮编：</w:t>
      </w:r>
      <w:bookmarkStart w:id="6" w:name="OLE_LINK17"/>
      <w:r>
        <w:rPr>
          <w:rFonts w:hint="eastAsia" w:ascii="宋体" w:hAnsi="宋体" w:eastAsia="宋体" w:cs="宋体"/>
          <w:sz w:val="24"/>
          <w:szCs w:val="24"/>
          <w:highlight w:val="none"/>
        </w:rPr>
        <w:t>200062</w:t>
      </w:r>
      <w:bookmarkEnd w:id="2"/>
      <w:bookmarkEnd w:id="5"/>
      <w:bookmarkEnd w:id="6"/>
    </w:p>
    <w:p>
      <w:pPr>
        <w:pStyle w:val="29"/>
        <w:autoSpaceDE w:val="0"/>
        <w:autoSpaceDN w:val="0"/>
        <w:spacing w:line="360" w:lineRule="exact"/>
        <w:ind w:leftChars="200" w:firstLine="0"/>
        <w:rPr>
          <w:rFonts w:ascii="宋体" w:hAnsi="宋体" w:eastAsia="宋体" w:cs="宋体"/>
          <w:sz w:val="24"/>
          <w:szCs w:val="24"/>
          <w:highlight w:val="none"/>
        </w:rPr>
      </w:pPr>
      <w:r>
        <w:rPr>
          <w:rFonts w:hint="eastAsia" w:ascii="宋体" w:hAnsi="宋体" w:eastAsia="宋体" w:cs="宋体"/>
          <w:sz w:val="24"/>
          <w:szCs w:val="24"/>
          <w:highlight w:val="none"/>
        </w:rPr>
        <w:t>电话：021-52974032</w:t>
      </w:r>
    </w:p>
    <w:bookmarkEnd w:id="3"/>
    <w:bookmarkEnd w:id="4"/>
    <w:p>
      <w:pPr>
        <w:autoSpaceDE w:val="0"/>
        <w:autoSpaceDN w:val="0"/>
        <w:spacing w:line="360" w:lineRule="exact"/>
        <w:ind w:left="1470" w:hanging="1050"/>
        <w:rPr>
          <w:rFonts w:hint="eastAsia" w:ascii="宋体" w:hAnsi="宋体" w:eastAsia="宋体" w:cs="宋体"/>
          <w:sz w:val="24"/>
          <w:highlight w:val="none"/>
          <w:lang w:val="en-US" w:eastAsia="zh-CN"/>
        </w:rPr>
      </w:pPr>
      <w:r>
        <w:rPr>
          <w:rFonts w:hint="eastAsia" w:ascii="宋体" w:hAnsi="宋体" w:cs="宋体"/>
          <w:sz w:val="24"/>
          <w:highlight w:val="none"/>
        </w:rPr>
        <w:t>联系人：李</w:t>
      </w:r>
      <w:r>
        <w:rPr>
          <w:rFonts w:hint="eastAsia" w:ascii="宋体" w:hAnsi="宋体" w:cs="宋体"/>
          <w:sz w:val="24"/>
          <w:highlight w:val="none"/>
          <w:lang w:val="en-US" w:eastAsia="zh-CN"/>
        </w:rPr>
        <w:t>老师</w:t>
      </w:r>
    </w:p>
    <w:p>
      <w:pPr>
        <w:autoSpaceDE w:val="0"/>
        <w:autoSpaceDN w:val="0"/>
        <w:spacing w:line="360" w:lineRule="exact"/>
        <w:ind w:left="1470" w:hanging="1050"/>
        <w:rPr>
          <w:rFonts w:ascii="宋体" w:hAnsi="宋体" w:cs="宋体"/>
          <w:sz w:val="24"/>
          <w:highlight w:val="none"/>
        </w:rPr>
      </w:pPr>
      <w:r>
        <w:rPr>
          <w:rFonts w:hint="eastAsia" w:ascii="宋体" w:hAnsi="宋体" w:cs="宋体"/>
          <w:sz w:val="24"/>
          <w:highlight w:val="none"/>
        </w:rPr>
        <w:t>邮箱：</w:t>
      </w:r>
      <w:bookmarkEnd w:id="0"/>
      <w:bookmarkEnd w:id="1"/>
      <w:r>
        <w:rPr>
          <w:rFonts w:ascii="宋体"/>
          <w:szCs w:val="21"/>
          <w:highlight w:val="none"/>
        </w:rPr>
        <w:fldChar w:fldCharType="begin"/>
      </w:r>
      <w:r>
        <w:rPr>
          <w:rFonts w:ascii="宋体"/>
          <w:szCs w:val="21"/>
          <w:highlight w:val="none"/>
        </w:rPr>
        <w:instrText xml:space="preserve"> HYPERLINK "mailto:liyi@shchildren.com.cn" </w:instrText>
      </w:r>
      <w:r>
        <w:rPr>
          <w:rFonts w:ascii="宋体"/>
          <w:szCs w:val="21"/>
          <w:highlight w:val="none"/>
        </w:rPr>
        <w:fldChar w:fldCharType="separate"/>
      </w:r>
      <w:r>
        <w:rPr>
          <w:rStyle w:val="24"/>
          <w:rFonts w:ascii="宋体"/>
          <w:szCs w:val="21"/>
          <w:highlight w:val="none"/>
        </w:rPr>
        <w:t>liyi@shchildren.com.cn</w:t>
      </w:r>
      <w:r>
        <w:rPr>
          <w:rFonts w:ascii="宋体"/>
          <w:szCs w:val="21"/>
          <w:highlight w:val="none"/>
        </w:rPr>
        <w:fldChar w:fldCharType="end"/>
      </w:r>
    </w:p>
    <w:p>
      <w:pPr>
        <w:pStyle w:val="29"/>
        <w:numPr>
          <w:ilvl w:val="0"/>
          <w:numId w:val="2"/>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开标时间、地点</w:t>
      </w:r>
    </w:p>
    <w:p>
      <w:pPr>
        <w:pStyle w:val="29"/>
        <w:numPr>
          <w:ilvl w:val="0"/>
          <w:numId w:val="0"/>
        </w:numPr>
        <w:autoSpaceDE w:val="0"/>
        <w:autoSpaceDN w:val="0"/>
        <w:spacing w:line="360" w:lineRule="exact"/>
        <w:ind w:left="420" w:left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所有</w:t>
      </w:r>
      <w:r>
        <w:rPr>
          <w:rFonts w:hint="eastAsia" w:ascii="宋体" w:hAnsi="宋体" w:eastAsia="宋体" w:cs="宋体"/>
          <w:bCs/>
          <w:sz w:val="24"/>
          <w:szCs w:val="24"/>
          <w:highlight w:val="none"/>
          <w:lang w:val="en-US" w:eastAsia="zh-CN"/>
        </w:rPr>
        <w:t>参选</w:t>
      </w:r>
      <w:r>
        <w:rPr>
          <w:rFonts w:hint="eastAsia" w:ascii="宋体" w:hAnsi="宋体" w:eastAsia="宋体" w:cs="宋体"/>
          <w:bCs/>
          <w:sz w:val="24"/>
          <w:szCs w:val="24"/>
          <w:highlight w:val="none"/>
        </w:rPr>
        <w:t>文件务必须</w:t>
      </w:r>
      <w:r>
        <w:rPr>
          <w:rFonts w:hint="eastAsia" w:ascii="宋体" w:hAnsi="宋体" w:eastAsia="宋体" w:cs="宋体"/>
          <w:bCs/>
          <w:sz w:val="24"/>
          <w:szCs w:val="24"/>
          <w:highlight w:val="none"/>
          <w:u w:val="single"/>
        </w:rPr>
        <w:t>排版胶装并按要求</w:t>
      </w:r>
      <w:r>
        <w:rPr>
          <w:rFonts w:hint="eastAsia" w:ascii="宋体" w:hAnsi="宋体" w:eastAsia="宋体" w:cs="宋体"/>
          <w:bCs/>
          <w:sz w:val="24"/>
          <w:szCs w:val="24"/>
          <w:highlight w:val="none"/>
        </w:rPr>
        <w:t>以档案袋密封后于</w:t>
      </w:r>
      <w:r>
        <w:rPr>
          <w:rFonts w:hint="eastAsia" w:ascii="宋体" w:hAnsi="宋体" w:eastAsia="宋体" w:cs="宋体"/>
          <w:b/>
          <w:bCs w:val="0"/>
          <w:sz w:val="24"/>
          <w:szCs w:val="24"/>
          <w:highlight w:val="none"/>
        </w:rPr>
        <w:t>2023年</w:t>
      </w:r>
      <w:r>
        <w:rPr>
          <w:rFonts w:hint="eastAsia" w:ascii="宋体" w:hAnsi="宋体" w:eastAsia="宋体" w:cs="宋体"/>
          <w:b/>
          <w:bCs w:val="0"/>
          <w:sz w:val="24"/>
          <w:szCs w:val="24"/>
          <w:highlight w:val="none"/>
          <w:lang w:val="en-US" w:eastAsia="zh-CN"/>
        </w:rPr>
        <w:t>11</w:t>
      </w:r>
      <w:r>
        <w:rPr>
          <w:rFonts w:hint="eastAsia" w:ascii="宋体" w:hAnsi="宋体" w:eastAsia="宋体" w:cs="宋体"/>
          <w:b/>
          <w:bCs w:val="0"/>
          <w:sz w:val="24"/>
          <w:szCs w:val="24"/>
          <w:highlight w:val="none"/>
        </w:rPr>
        <w:t>月</w:t>
      </w:r>
      <w:r>
        <w:rPr>
          <w:rFonts w:hint="eastAsia" w:ascii="宋体" w:hAnsi="宋体" w:eastAsia="宋体" w:cs="宋体"/>
          <w:b/>
          <w:bCs w:val="0"/>
          <w:sz w:val="24"/>
          <w:szCs w:val="24"/>
          <w:highlight w:val="none"/>
          <w:lang w:val="en-US" w:eastAsia="zh-CN"/>
        </w:rPr>
        <w:t>13</w:t>
      </w:r>
      <w:r>
        <w:rPr>
          <w:rFonts w:hint="eastAsia" w:ascii="宋体" w:hAnsi="宋体" w:eastAsia="宋体" w:cs="宋体"/>
          <w:b/>
          <w:bCs w:val="0"/>
          <w:sz w:val="24"/>
          <w:szCs w:val="24"/>
          <w:highlight w:val="none"/>
        </w:rPr>
        <w:t>日北京时间</w:t>
      </w:r>
      <w:r>
        <w:rPr>
          <w:rFonts w:hint="eastAsia" w:ascii="宋体" w:hAnsi="宋体" w:eastAsia="宋体" w:cs="宋体"/>
          <w:b/>
          <w:bCs w:val="0"/>
          <w:sz w:val="24"/>
          <w:szCs w:val="24"/>
          <w:highlight w:val="none"/>
          <w:lang w:val="en-US" w:eastAsia="zh-CN"/>
        </w:rPr>
        <w:t>10</w:t>
      </w:r>
      <w:bookmarkStart w:id="9" w:name="_GoBack"/>
      <w:bookmarkEnd w:id="9"/>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00</w:t>
      </w:r>
      <w:r>
        <w:rPr>
          <w:rFonts w:hint="eastAsia" w:ascii="宋体" w:hAnsi="宋体" w:eastAsia="宋体" w:cs="宋体"/>
          <w:b/>
          <w:bCs w:val="0"/>
          <w:sz w:val="24"/>
          <w:szCs w:val="24"/>
          <w:highlight w:val="none"/>
        </w:rPr>
        <w:t>前</w:t>
      </w:r>
      <w:r>
        <w:rPr>
          <w:rFonts w:hint="eastAsia" w:ascii="宋体" w:hAnsi="宋体" w:eastAsia="宋体" w:cs="宋体"/>
          <w:bCs/>
          <w:sz w:val="24"/>
          <w:szCs w:val="24"/>
          <w:highlight w:val="none"/>
        </w:rPr>
        <w:t>提交上海市泸定路355号住院部503会议室，并于</w:t>
      </w:r>
      <w:r>
        <w:rPr>
          <w:rFonts w:hint="eastAsia" w:ascii="宋体" w:hAnsi="宋体" w:eastAsia="宋体" w:cs="宋体"/>
          <w:b/>
          <w:bCs w:val="0"/>
          <w:color w:val="FF0000"/>
          <w:sz w:val="24"/>
          <w:szCs w:val="24"/>
          <w:highlight w:val="none"/>
          <w:u w:val="single"/>
        </w:rPr>
        <w:t>2023年</w:t>
      </w:r>
      <w:r>
        <w:rPr>
          <w:rFonts w:hint="eastAsia" w:ascii="宋体" w:hAnsi="宋体" w:eastAsia="宋体" w:cs="宋体"/>
          <w:b/>
          <w:bCs w:val="0"/>
          <w:color w:val="FF0000"/>
          <w:sz w:val="24"/>
          <w:szCs w:val="24"/>
          <w:highlight w:val="none"/>
          <w:u w:val="single"/>
          <w:lang w:val="en-US" w:eastAsia="zh-CN"/>
        </w:rPr>
        <w:t>11</w:t>
      </w:r>
      <w:r>
        <w:rPr>
          <w:rFonts w:hint="eastAsia" w:ascii="宋体" w:hAnsi="宋体" w:eastAsia="宋体" w:cs="宋体"/>
          <w:b/>
          <w:bCs w:val="0"/>
          <w:color w:val="FF0000"/>
          <w:sz w:val="24"/>
          <w:szCs w:val="24"/>
          <w:highlight w:val="none"/>
          <w:u w:val="single"/>
        </w:rPr>
        <w:t>月</w:t>
      </w:r>
      <w:r>
        <w:rPr>
          <w:rFonts w:hint="eastAsia" w:ascii="宋体" w:hAnsi="宋体" w:eastAsia="宋体" w:cs="宋体"/>
          <w:b/>
          <w:bCs w:val="0"/>
          <w:color w:val="FF0000"/>
          <w:sz w:val="24"/>
          <w:szCs w:val="24"/>
          <w:highlight w:val="none"/>
          <w:u w:val="single"/>
          <w:lang w:val="en-US" w:eastAsia="zh-CN"/>
        </w:rPr>
        <w:t>13</w:t>
      </w:r>
      <w:r>
        <w:rPr>
          <w:rFonts w:hint="eastAsia" w:ascii="宋体" w:hAnsi="宋体" w:eastAsia="宋体" w:cs="宋体"/>
          <w:b/>
          <w:bCs w:val="0"/>
          <w:color w:val="FF0000"/>
          <w:sz w:val="24"/>
          <w:szCs w:val="24"/>
          <w:highlight w:val="none"/>
          <w:u w:val="single"/>
        </w:rPr>
        <w:t>日北京时间</w:t>
      </w:r>
      <w:r>
        <w:rPr>
          <w:rFonts w:hint="eastAsia" w:ascii="宋体" w:hAnsi="宋体" w:eastAsia="宋体" w:cs="宋体"/>
          <w:b/>
          <w:bCs w:val="0"/>
          <w:color w:val="FF0000"/>
          <w:sz w:val="24"/>
          <w:szCs w:val="24"/>
          <w:highlight w:val="none"/>
          <w:u w:val="single"/>
          <w:lang w:val="en-US" w:eastAsia="zh-CN"/>
        </w:rPr>
        <w:t>10</w:t>
      </w:r>
      <w:r>
        <w:rPr>
          <w:rFonts w:hint="eastAsia" w:ascii="宋体" w:hAnsi="宋体" w:eastAsia="宋体" w:cs="宋体"/>
          <w:b/>
          <w:bCs w:val="0"/>
          <w:color w:val="FF0000"/>
          <w:sz w:val="24"/>
          <w:szCs w:val="24"/>
          <w:highlight w:val="none"/>
          <w:u w:val="single"/>
        </w:rPr>
        <w:t>:</w:t>
      </w:r>
      <w:r>
        <w:rPr>
          <w:rFonts w:hint="eastAsia" w:ascii="宋体" w:hAnsi="宋体" w:eastAsia="宋体" w:cs="宋体"/>
          <w:b/>
          <w:bCs w:val="0"/>
          <w:color w:val="FF0000"/>
          <w:sz w:val="24"/>
          <w:szCs w:val="24"/>
          <w:highlight w:val="none"/>
          <w:u w:val="single"/>
          <w:lang w:val="en-US" w:eastAsia="zh-CN"/>
        </w:rPr>
        <w:t>00</w:t>
      </w:r>
      <w:r>
        <w:rPr>
          <w:rFonts w:hint="eastAsia" w:ascii="宋体" w:hAnsi="宋体" w:eastAsia="宋体" w:cs="宋体"/>
          <w:bCs/>
          <w:sz w:val="24"/>
          <w:szCs w:val="24"/>
          <w:highlight w:val="none"/>
        </w:rPr>
        <w:t>在上海市泸定路355号住院部</w:t>
      </w:r>
      <w:r>
        <w:rPr>
          <w:rFonts w:hint="eastAsia" w:ascii="宋体" w:hAnsi="宋体" w:eastAsia="宋体" w:cs="宋体"/>
          <w:b/>
          <w:bCs w:val="0"/>
          <w:color w:val="FF0000"/>
          <w:sz w:val="24"/>
          <w:szCs w:val="24"/>
          <w:highlight w:val="none"/>
          <w:u w:val="single"/>
        </w:rPr>
        <w:t>503会议室</w:t>
      </w:r>
      <w:r>
        <w:rPr>
          <w:rFonts w:hint="eastAsia" w:ascii="宋体" w:hAnsi="宋体" w:eastAsia="宋体" w:cs="宋体"/>
          <w:bCs/>
          <w:sz w:val="24"/>
          <w:szCs w:val="24"/>
          <w:highlight w:val="none"/>
        </w:rPr>
        <w:t>举行遴选开标，届时参选人须派代表出席开标会。</w:t>
      </w:r>
    </w:p>
    <w:p>
      <w:pPr>
        <w:pStyle w:val="29"/>
        <w:numPr>
          <w:ilvl w:val="0"/>
          <w:numId w:val="2"/>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评审原则及方法</w:t>
      </w:r>
    </w:p>
    <w:p>
      <w:pPr>
        <w:pStyle w:val="18"/>
        <w:numPr>
          <w:ilvl w:val="0"/>
          <w:numId w:val="6"/>
        </w:numPr>
        <w:spacing w:line="288" w:lineRule="auto"/>
        <w:ind w:left="845"/>
        <w:rPr>
          <w:rFonts w:cs="宋体"/>
          <w:shd w:val="clear" w:color="auto" w:fill="auto"/>
        </w:rPr>
      </w:pPr>
      <w:r>
        <w:rPr>
          <w:rFonts w:hint="eastAsia" w:cs="宋体"/>
          <w:highlight w:val="none"/>
          <w:shd w:val="clear" w:color="auto" w:fill="auto"/>
        </w:rPr>
        <w:t>遴选响应文件中不满足技术规格中加注“</w:t>
      </w:r>
      <w:r>
        <w:rPr>
          <w:rFonts w:hint="eastAsia" w:cs="宋体"/>
          <w:highlight w:val="none"/>
          <w:shd w:val="clear" w:color="auto" w:fill="auto"/>
          <w:lang w:eastAsia="zh-Hans"/>
        </w:rPr>
        <w:t>★</w:t>
      </w:r>
      <w:r>
        <w:rPr>
          <w:rFonts w:hint="eastAsia" w:cs="宋体"/>
          <w:highlight w:val="none"/>
          <w:shd w:val="clear" w:color="auto" w:fill="auto"/>
        </w:rPr>
        <w:t>”要求的视为投</w:t>
      </w:r>
      <w:r>
        <w:rPr>
          <w:rFonts w:hint="eastAsia" w:cs="宋体"/>
          <w:shd w:val="clear" w:color="auto" w:fill="auto"/>
        </w:rPr>
        <w:t>标无效。</w:t>
      </w:r>
    </w:p>
    <w:p>
      <w:pPr>
        <w:pStyle w:val="18"/>
        <w:numPr>
          <w:ilvl w:val="0"/>
          <w:numId w:val="6"/>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9"/>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811"/>
        <w:gridCol w:w="6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02" w:type="dxa"/>
            <w:noWrap w:val="0"/>
            <w:vAlign w:val="center"/>
          </w:tcPr>
          <w:p>
            <w:pPr>
              <w:spacing w:line="360" w:lineRule="auto"/>
              <w:rPr>
                <w:rFonts w:hint="eastAsia" w:ascii="宋体" w:hAnsi="宋体" w:cs="宋体"/>
                <w:b w:val="0"/>
                <w:bCs w:val="0"/>
                <w:sz w:val="24"/>
              </w:rPr>
            </w:pPr>
            <w:r>
              <w:rPr>
                <w:rFonts w:hint="eastAsia" w:ascii="宋体" w:hAnsi="宋体" w:cs="宋体"/>
                <w:b w:val="0"/>
                <w:bCs w:val="0"/>
                <w:sz w:val="24"/>
              </w:rPr>
              <w:t>评审内容</w:t>
            </w:r>
          </w:p>
        </w:tc>
        <w:tc>
          <w:tcPr>
            <w:tcW w:w="811" w:type="dxa"/>
            <w:noWrap w:val="0"/>
            <w:vAlign w:val="center"/>
          </w:tcPr>
          <w:p>
            <w:pPr>
              <w:spacing w:line="360" w:lineRule="auto"/>
              <w:rPr>
                <w:rFonts w:hint="eastAsia" w:ascii="宋体" w:hAnsi="宋体" w:cs="宋体"/>
                <w:b w:val="0"/>
                <w:bCs w:val="0"/>
                <w:sz w:val="24"/>
              </w:rPr>
            </w:pPr>
            <w:r>
              <w:rPr>
                <w:rFonts w:hint="eastAsia" w:ascii="宋体" w:hAnsi="宋体" w:cs="宋体"/>
                <w:b w:val="0"/>
                <w:bCs w:val="0"/>
                <w:sz w:val="24"/>
              </w:rPr>
              <w:t>满分</w:t>
            </w:r>
          </w:p>
        </w:tc>
        <w:tc>
          <w:tcPr>
            <w:tcW w:w="6046" w:type="dxa"/>
            <w:noWrap w:val="0"/>
            <w:vAlign w:val="center"/>
          </w:tcPr>
          <w:p>
            <w:pPr>
              <w:spacing w:line="360" w:lineRule="auto"/>
              <w:rPr>
                <w:rFonts w:hint="eastAsia" w:ascii="宋体" w:hAnsi="宋体" w:cs="宋体"/>
                <w:b w:val="0"/>
                <w:bCs w:val="0"/>
                <w:sz w:val="24"/>
              </w:rPr>
            </w:pPr>
            <w:r>
              <w:rPr>
                <w:rFonts w:hint="eastAsia" w:ascii="宋体" w:hAnsi="宋体" w:cs="宋体"/>
                <w:b w:val="0"/>
                <w:bCs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702" w:type="dxa"/>
            <w:noWrap w:val="0"/>
            <w:vAlign w:val="center"/>
          </w:tcPr>
          <w:p>
            <w:pPr>
              <w:spacing w:line="360" w:lineRule="auto"/>
              <w:rPr>
                <w:rFonts w:hint="eastAsia" w:ascii="宋体" w:hAnsi="宋体" w:cs="宋体"/>
                <w:b w:val="0"/>
                <w:bCs w:val="0"/>
                <w:sz w:val="24"/>
              </w:rPr>
            </w:pPr>
            <w:r>
              <w:rPr>
                <w:rFonts w:hint="eastAsia" w:ascii="宋体" w:hAnsi="宋体" w:cs="宋体"/>
                <w:b w:val="0"/>
                <w:bCs w:val="0"/>
                <w:sz w:val="24"/>
              </w:rPr>
              <w:t>一、报价部分</w:t>
            </w:r>
          </w:p>
        </w:tc>
        <w:tc>
          <w:tcPr>
            <w:tcW w:w="811" w:type="dxa"/>
            <w:noWrap w:val="0"/>
            <w:vAlign w:val="center"/>
          </w:tcPr>
          <w:p>
            <w:pPr>
              <w:spacing w:line="360" w:lineRule="auto"/>
              <w:rPr>
                <w:rFonts w:ascii="宋体" w:hAnsi="宋体" w:cs="宋体"/>
                <w:b w:val="0"/>
                <w:bCs w:val="0"/>
                <w:sz w:val="24"/>
              </w:rPr>
            </w:pPr>
            <w:r>
              <w:rPr>
                <w:rFonts w:ascii="宋体" w:hAnsi="宋体" w:cs="宋体"/>
                <w:b w:val="0"/>
                <w:bCs w:val="0"/>
                <w:sz w:val="24"/>
              </w:rPr>
              <w:t>30</w:t>
            </w:r>
            <w:r>
              <w:rPr>
                <w:rFonts w:hint="eastAsia" w:ascii="宋体" w:hAnsi="宋体" w:cs="宋体"/>
                <w:b w:val="0"/>
                <w:bCs w:val="0"/>
                <w:color w:val="auto"/>
                <w:sz w:val="24"/>
              </w:rPr>
              <w:t>分</w:t>
            </w:r>
          </w:p>
        </w:tc>
        <w:tc>
          <w:tcPr>
            <w:tcW w:w="6046" w:type="dxa"/>
            <w:noWrap w:val="0"/>
            <w:vAlign w:val="center"/>
          </w:tcPr>
          <w:p>
            <w:pPr>
              <w:spacing w:line="360" w:lineRule="auto"/>
              <w:rPr>
                <w:rFonts w:hint="eastAsia" w:ascii="宋体" w:hAnsi="宋体" w:cs="宋体"/>
                <w:b w:val="0"/>
                <w:bCs w:val="0"/>
                <w:sz w:val="24"/>
              </w:rPr>
            </w:pPr>
            <w:r>
              <w:rPr>
                <w:rFonts w:hint="eastAsia" w:ascii="宋体" w:hAnsi="宋体" w:cs="宋体"/>
                <w:b w:val="0"/>
                <w:bCs w:val="0"/>
                <w:sz w:val="24"/>
              </w:rPr>
              <w:t>投标人的投标报价得分计算公式如下：</w:t>
            </w:r>
          </w:p>
          <w:p>
            <w:pPr>
              <w:spacing w:line="360" w:lineRule="auto"/>
              <w:rPr>
                <w:rFonts w:hint="eastAsia" w:ascii="宋体" w:hAnsi="宋体" w:cs="宋体"/>
                <w:b w:val="0"/>
                <w:bCs w:val="0"/>
                <w:sz w:val="24"/>
                <w:highlight w:val="yellow"/>
              </w:rPr>
            </w:pPr>
            <w:r>
              <w:rPr>
                <w:rFonts w:hint="eastAsia" w:ascii="宋体" w:hAnsi="宋体" w:cs="宋体"/>
                <w:b w:val="0"/>
                <w:bCs w:val="0"/>
                <w:sz w:val="24"/>
              </w:rPr>
              <w:t>投标报价得分=(所有合格投标报价的最低投标价/合格投标人的报价)×</w:t>
            </w:r>
            <w:r>
              <w:rPr>
                <w:rFonts w:ascii="宋体" w:hAnsi="宋体" w:cs="宋体"/>
                <w:b w:val="0"/>
                <w:bCs w:val="0"/>
                <w:sz w:val="24"/>
              </w:rPr>
              <w:t>30</w:t>
            </w:r>
            <w:r>
              <w:rPr>
                <w:rFonts w:hint="eastAsia" w:ascii="宋体" w:hAnsi="宋体" w:cs="宋体"/>
                <w:b w:val="0"/>
                <w:bCs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02" w:type="dxa"/>
            <w:noWrap w:val="0"/>
            <w:vAlign w:val="center"/>
          </w:tcPr>
          <w:p>
            <w:pPr>
              <w:widowControl/>
              <w:spacing w:line="360" w:lineRule="auto"/>
              <w:rPr>
                <w:rFonts w:ascii="宋体" w:hAnsi="宋体" w:cs="宋体"/>
                <w:b w:val="0"/>
                <w:bCs w:val="0"/>
                <w:sz w:val="24"/>
              </w:rPr>
            </w:pPr>
            <w:r>
              <w:rPr>
                <w:rFonts w:hint="eastAsia" w:ascii="宋体" w:hAnsi="宋体" w:cs="宋体"/>
                <w:b w:val="0"/>
                <w:bCs w:val="0"/>
                <w:sz w:val="24"/>
              </w:rPr>
              <w:t>二、技术部分</w:t>
            </w:r>
          </w:p>
        </w:tc>
        <w:tc>
          <w:tcPr>
            <w:tcW w:w="811" w:type="dxa"/>
            <w:noWrap w:val="0"/>
            <w:vAlign w:val="center"/>
          </w:tcPr>
          <w:p>
            <w:pPr>
              <w:widowControl/>
              <w:spacing w:line="360" w:lineRule="auto"/>
              <w:rPr>
                <w:rFonts w:ascii="宋体" w:hAnsi="宋体" w:cs="宋体"/>
                <w:b w:val="0"/>
                <w:bCs w:val="0"/>
                <w:sz w:val="24"/>
              </w:rPr>
            </w:pPr>
            <w:r>
              <w:rPr>
                <w:rFonts w:ascii="宋体" w:hAnsi="宋体" w:cs="宋体"/>
                <w:b w:val="0"/>
                <w:bCs w:val="0"/>
                <w:sz w:val="24"/>
              </w:rPr>
              <w:t>55</w:t>
            </w:r>
            <w:r>
              <w:rPr>
                <w:rFonts w:hint="eastAsia" w:ascii="宋体" w:hAnsi="宋体" w:cs="宋体"/>
                <w:b w:val="0"/>
                <w:bCs w:val="0"/>
                <w:color w:val="auto"/>
                <w:sz w:val="24"/>
              </w:rPr>
              <w:t>分</w:t>
            </w:r>
          </w:p>
        </w:tc>
        <w:tc>
          <w:tcPr>
            <w:tcW w:w="6046" w:type="dxa"/>
            <w:noWrap w:val="0"/>
            <w:vAlign w:val="center"/>
          </w:tcPr>
          <w:p>
            <w:pPr>
              <w:spacing w:line="360" w:lineRule="auto"/>
              <w:rPr>
                <w:rFonts w:hint="eastAsia" w:ascii="宋体" w:hAnsi="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702" w:type="dxa"/>
            <w:noWrap w:val="0"/>
            <w:vAlign w:val="center"/>
          </w:tcPr>
          <w:p>
            <w:pPr>
              <w:widowControl/>
              <w:spacing w:line="360" w:lineRule="auto"/>
              <w:rPr>
                <w:rFonts w:hint="eastAsia" w:ascii="宋体" w:hAnsi="宋体" w:cs="宋体"/>
                <w:b w:val="0"/>
                <w:bCs w:val="0"/>
                <w:sz w:val="24"/>
              </w:rPr>
            </w:pPr>
            <w:r>
              <w:rPr>
                <w:rFonts w:hint="eastAsia" w:ascii="宋体" w:hAnsi="宋体" w:cs="宋体"/>
                <w:b w:val="0"/>
                <w:bCs w:val="0"/>
                <w:sz w:val="24"/>
              </w:rPr>
              <w:t>需求理解</w:t>
            </w:r>
          </w:p>
        </w:tc>
        <w:tc>
          <w:tcPr>
            <w:tcW w:w="811" w:type="dxa"/>
            <w:noWrap w:val="0"/>
            <w:vAlign w:val="center"/>
          </w:tcPr>
          <w:p>
            <w:pPr>
              <w:spacing w:line="360" w:lineRule="auto"/>
              <w:rPr>
                <w:rFonts w:hint="eastAsia" w:ascii="宋体" w:hAnsi="宋体" w:cs="宋体"/>
                <w:b w:val="0"/>
                <w:bCs w:val="0"/>
                <w:sz w:val="24"/>
              </w:rPr>
            </w:pPr>
            <w:r>
              <w:rPr>
                <w:rFonts w:ascii="宋体" w:hAnsi="宋体" w:cs="宋体"/>
                <w:b w:val="0"/>
                <w:bCs w:val="0"/>
                <w:sz w:val="24"/>
              </w:rPr>
              <w:t>10</w:t>
            </w:r>
            <w:r>
              <w:rPr>
                <w:rFonts w:hint="eastAsia" w:ascii="宋体" w:hAnsi="宋体" w:cs="宋体"/>
                <w:b w:val="0"/>
                <w:bCs w:val="0"/>
                <w:color w:val="auto"/>
                <w:sz w:val="24"/>
              </w:rPr>
              <w:t>分</w:t>
            </w:r>
          </w:p>
        </w:tc>
        <w:tc>
          <w:tcPr>
            <w:tcW w:w="6046" w:type="dxa"/>
            <w:noWrap w:val="0"/>
            <w:vAlign w:val="center"/>
          </w:tcPr>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对现状和需求有充分的理解和把握，对监理目标有清晰的描述，较为全面的解决方案。</w:t>
            </w:r>
          </w:p>
          <w:p>
            <w:pPr>
              <w:spacing w:line="360" w:lineRule="auto"/>
              <w:rPr>
                <w:rFonts w:ascii="宋体" w:hAnsi="宋体" w:cs="宋体"/>
                <w:b w:val="0"/>
                <w:bCs w:val="0"/>
                <w:color w:val="auto"/>
                <w:sz w:val="24"/>
              </w:rPr>
            </w:pPr>
            <w:r>
              <w:rPr>
                <w:rFonts w:hint="eastAsia" w:ascii="宋体" w:hAnsi="宋体" w:cs="宋体"/>
                <w:b w:val="0"/>
                <w:bCs w:val="0"/>
                <w:color w:val="auto"/>
                <w:sz w:val="24"/>
                <w:lang w:val="en-US" w:eastAsia="zh-CN"/>
              </w:rPr>
              <w:t>好</w:t>
            </w:r>
            <w:r>
              <w:rPr>
                <w:rFonts w:hint="eastAsia" w:ascii="宋体" w:hAnsi="宋体" w:cs="宋体"/>
                <w:b w:val="0"/>
                <w:bCs w:val="0"/>
                <w:color w:val="auto"/>
                <w:sz w:val="24"/>
              </w:rPr>
              <w:t>的为7分-10分（含），</w:t>
            </w:r>
            <w:r>
              <w:rPr>
                <w:rFonts w:hint="eastAsia" w:ascii="宋体" w:hAnsi="宋体" w:cs="宋体"/>
                <w:b w:val="0"/>
                <w:bCs w:val="0"/>
                <w:color w:val="auto"/>
                <w:sz w:val="24"/>
                <w:lang w:val="en-US" w:eastAsia="zh-CN"/>
              </w:rPr>
              <w:t>一般</w:t>
            </w:r>
            <w:r>
              <w:rPr>
                <w:rFonts w:hint="eastAsia" w:ascii="宋体" w:hAnsi="宋体" w:cs="宋体"/>
                <w:b w:val="0"/>
                <w:bCs w:val="0"/>
                <w:color w:val="auto"/>
                <w:sz w:val="24"/>
              </w:rPr>
              <w:t>的为3分-7分（含），</w:t>
            </w:r>
            <w:r>
              <w:rPr>
                <w:rFonts w:hint="eastAsia" w:ascii="宋体" w:hAnsi="宋体" w:cs="宋体"/>
                <w:b w:val="0"/>
                <w:bCs w:val="0"/>
                <w:color w:val="auto"/>
                <w:sz w:val="24"/>
                <w:lang w:val="en-US" w:eastAsia="zh-CN"/>
              </w:rPr>
              <w:t>较差</w:t>
            </w:r>
            <w:r>
              <w:rPr>
                <w:rFonts w:hint="eastAsia" w:ascii="宋体" w:hAnsi="宋体" w:cs="宋体"/>
                <w:b w:val="0"/>
                <w:bCs w:val="0"/>
                <w:color w:val="auto"/>
                <w:sz w:val="24"/>
              </w:rPr>
              <w:t>的为0分-3分（含），不满足的为0分。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jc w:val="center"/>
        </w:trPr>
        <w:tc>
          <w:tcPr>
            <w:tcW w:w="1702" w:type="dxa"/>
            <w:noWrap w:val="0"/>
            <w:vAlign w:val="center"/>
          </w:tcPr>
          <w:p>
            <w:pPr>
              <w:widowControl/>
              <w:spacing w:line="360" w:lineRule="auto"/>
              <w:rPr>
                <w:rFonts w:hint="eastAsia" w:ascii="宋体" w:hAnsi="宋体" w:cs="宋体"/>
                <w:b w:val="0"/>
                <w:bCs w:val="0"/>
                <w:sz w:val="24"/>
              </w:rPr>
            </w:pPr>
            <w:r>
              <w:rPr>
                <w:rFonts w:hint="eastAsia" w:ascii="宋体" w:hAnsi="宋体" w:cs="宋体"/>
                <w:b w:val="0"/>
                <w:bCs w:val="0"/>
                <w:sz w:val="24"/>
              </w:rPr>
              <w:t>监理方案及计划</w:t>
            </w:r>
            <w:r>
              <w:rPr>
                <w:rFonts w:hint="eastAsia" w:ascii="宋体" w:hAnsi="宋体" w:cs="宋体"/>
                <w:b w:val="0"/>
                <w:bCs w:val="0"/>
                <w:sz w:val="24"/>
              </w:rPr>
              <w:tab/>
            </w:r>
          </w:p>
        </w:tc>
        <w:tc>
          <w:tcPr>
            <w:tcW w:w="811" w:type="dxa"/>
            <w:noWrap w:val="0"/>
            <w:vAlign w:val="center"/>
          </w:tcPr>
          <w:p>
            <w:pPr>
              <w:spacing w:line="360" w:lineRule="auto"/>
              <w:rPr>
                <w:rFonts w:ascii="宋体" w:hAnsi="宋体" w:cs="宋体"/>
                <w:b w:val="0"/>
                <w:bCs w:val="0"/>
                <w:sz w:val="24"/>
              </w:rPr>
            </w:pPr>
            <w:r>
              <w:rPr>
                <w:rFonts w:hint="eastAsia" w:ascii="宋体" w:hAnsi="宋体" w:cs="宋体"/>
                <w:b w:val="0"/>
                <w:bCs w:val="0"/>
                <w:sz w:val="24"/>
              </w:rPr>
              <w:t>10</w:t>
            </w:r>
            <w:r>
              <w:rPr>
                <w:rFonts w:hint="eastAsia" w:ascii="宋体" w:hAnsi="宋体" w:cs="宋体"/>
                <w:b w:val="0"/>
                <w:bCs w:val="0"/>
                <w:color w:val="auto"/>
                <w:sz w:val="24"/>
              </w:rPr>
              <w:t>分</w:t>
            </w:r>
          </w:p>
        </w:tc>
        <w:tc>
          <w:tcPr>
            <w:tcW w:w="6046" w:type="dxa"/>
            <w:noWrap w:val="0"/>
            <w:vAlign w:val="center"/>
          </w:tcPr>
          <w:p>
            <w:pPr>
              <w:spacing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施工监理方案的内容是否全面、是否结合工程实际；施工监理方案对项目监理机构人员的组织分工以及相应的权利与职责是否明确；质量、进度、资金控制措施以及监理程序是否科学、合理；现场安全文明施工的管理措施、控制手段是否科学、全面；合同、信息等方面管理措施以及控制手段是否科学、全面；关键部位的旁站监理方案是否完整、可行。</w:t>
            </w:r>
          </w:p>
          <w:p>
            <w:pPr>
              <w:spacing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好</w:t>
            </w:r>
            <w:r>
              <w:rPr>
                <w:rFonts w:hint="eastAsia" w:ascii="宋体" w:hAnsi="宋体" w:eastAsia="宋体" w:cs="宋体"/>
                <w:b w:val="0"/>
                <w:bCs w:val="0"/>
                <w:color w:val="auto"/>
                <w:sz w:val="24"/>
              </w:rPr>
              <w:t>的为7分-10分（含），</w:t>
            </w:r>
            <w:r>
              <w:rPr>
                <w:rFonts w:hint="eastAsia" w:ascii="宋体" w:hAnsi="宋体" w:eastAsia="宋体" w:cs="宋体"/>
                <w:b w:val="0"/>
                <w:bCs w:val="0"/>
                <w:color w:val="auto"/>
                <w:sz w:val="24"/>
                <w:lang w:val="en-US" w:eastAsia="zh-CN"/>
              </w:rPr>
              <w:t>一般</w:t>
            </w:r>
            <w:r>
              <w:rPr>
                <w:rFonts w:hint="eastAsia" w:ascii="宋体" w:hAnsi="宋体" w:eastAsia="宋体" w:cs="宋体"/>
                <w:b w:val="0"/>
                <w:bCs w:val="0"/>
                <w:color w:val="auto"/>
                <w:sz w:val="24"/>
              </w:rPr>
              <w:t>的为3分-7分（含），</w:t>
            </w:r>
            <w:r>
              <w:rPr>
                <w:rFonts w:hint="eastAsia" w:ascii="宋体" w:hAnsi="宋体" w:eastAsia="宋体" w:cs="宋体"/>
                <w:b w:val="0"/>
                <w:bCs w:val="0"/>
                <w:color w:val="auto"/>
                <w:sz w:val="24"/>
                <w:lang w:val="en-US" w:eastAsia="zh-CN"/>
              </w:rPr>
              <w:t>较差</w:t>
            </w:r>
            <w:r>
              <w:rPr>
                <w:rFonts w:hint="eastAsia" w:ascii="宋体" w:hAnsi="宋体" w:eastAsia="宋体" w:cs="宋体"/>
                <w:b w:val="0"/>
                <w:bCs w:val="0"/>
                <w:color w:val="auto"/>
                <w:sz w:val="24"/>
              </w:rPr>
              <w:t>的为0分-3分（含），不满足的为0分。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702" w:type="dxa"/>
            <w:noWrap w:val="0"/>
            <w:vAlign w:val="center"/>
          </w:tcPr>
          <w:p>
            <w:pPr>
              <w:adjustRightInd w:val="0"/>
              <w:snapToGrid w:val="0"/>
              <w:spacing w:line="360" w:lineRule="auto"/>
              <w:rPr>
                <w:rFonts w:ascii="宋体" w:hAnsi="宋体" w:cs="宋体"/>
                <w:b w:val="0"/>
                <w:bCs w:val="0"/>
                <w:kern w:val="0"/>
                <w:sz w:val="24"/>
                <w:highlight w:val="yellow"/>
              </w:rPr>
            </w:pPr>
            <w:r>
              <w:rPr>
                <w:rFonts w:hint="eastAsia" w:ascii="宋体" w:hAnsi="宋体" w:cs="宋体"/>
                <w:b w:val="0"/>
                <w:bCs w:val="0"/>
                <w:sz w:val="24"/>
              </w:rPr>
              <w:t>重点难点分析</w:t>
            </w:r>
          </w:p>
        </w:tc>
        <w:tc>
          <w:tcPr>
            <w:tcW w:w="811" w:type="dxa"/>
            <w:noWrap w:val="0"/>
            <w:vAlign w:val="center"/>
          </w:tcPr>
          <w:p>
            <w:pPr>
              <w:spacing w:line="360" w:lineRule="auto"/>
              <w:rPr>
                <w:rFonts w:ascii="宋体" w:hAnsi="宋体" w:cs="宋体"/>
                <w:b w:val="0"/>
                <w:bCs w:val="0"/>
                <w:sz w:val="24"/>
              </w:rPr>
            </w:pPr>
            <w:r>
              <w:rPr>
                <w:rFonts w:ascii="宋体" w:hAnsi="宋体" w:cs="宋体"/>
                <w:b w:val="0"/>
                <w:bCs w:val="0"/>
                <w:sz w:val="24"/>
              </w:rPr>
              <w:t>10</w:t>
            </w:r>
            <w:r>
              <w:rPr>
                <w:rFonts w:hint="eastAsia" w:ascii="宋体" w:hAnsi="宋体" w:cs="宋体"/>
                <w:b w:val="0"/>
                <w:bCs w:val="0"/>
                <w:color w:val="auto"/>
                <w:sz w:val="24"/>
              </w:rPr>
              <w:t>分</w:t>
            </w:r>
          </w:p>
        </w:tc>
        <w:tc>
          <w:tcPr>
            <w:tcW w:w="6046" w:type="dxa"/>
            <w:noWrap w:val="0"/>
            <w:vAlign w:val="center"/>
          </w:tcPr>
          <w:p>
            <w:pPr>
              <w:spacing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对项目特点、难点及重点的分析是否透彻；是否能提供有效的技术建议。</w:t>
            </w:r>
          </w:p>
          <w:p>
            <w:pPr>
              <w:spacing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好</w:t>
            </w:r>
            <w:r>
              <w:rPr>
                <w:rFonts w:hint="eastAsia" w:ascii="宋体" w:hAnsi="宋体" w:eastAsia="宋体" w:cs="宋体"/>
                <w:b w:val="0"/>
                <w:bCs w:val="0"/>
                <w:color w:val="auto"/>
                <w:sz w:val="24"/>
              </w:rPr>
              <w:t>的为7分-10分（含），</w:t>
            </w:r>
            <w:r>
              <w:rPr>
                <w:rFonts w:hint="eastAsia" w:ascii="宋体" w:hAnsi="宋体" w:eastAsia="宋体" w:cs="宋体"/>
                <w:b w:val="0"/>
                <w:bCs w:val="0"/>
                <w:color w:val="auto"/>
                <w:sz w:val="24"/>
                <w:lang w:val="en-US" w:eastAsia="zh-CN"/>
              </w:rPr>
              <w:t>一般</w:t>
            </w:r>
            <w:r>
              <w:rPr>
                <w:rFonts w:hint="eastAsia" w:ascii="宋体" w:hAnsi="宋体" w:eastAsia="宋体" w:cs="宋体"/>
                <w:b w:val="0"/>
                <w:bCs w:val="0"/>
                <w:color w:val="auto"/>
                <w:sz w:val="24"/>
              </w:rPr>
              <w:t>的为3分-7分（含），</w:t>
            </w:r>
            <w:r>
              <w:rPr>
                <w:rFonts w:hint="eastAsia" w:ascii="宋体" w:hAnsi="宋体" w:eastAsia="宋体" w:cs="宋体"/>
                <w:b w:val="0"/>
                <w:bCs w:val="0"/>
                <w:color w:val="auto"/>
                <w:sz w:val="24"/>
                <w:lang w:val="en-US" w:eastAsia="zh-CN"/>
              </w:rPr>
              <w:t>较差</w:t>
            </w:r>
            <w:r>
              <w:rPr>
                <w:rFonts w:hint="eastAsia" w:ascii="宋体" w:hAnsi="宋体" w:eastAsia="宋体" w:cs="宋体"/>
                <w:b w:val="0"/>
                <w:bCs w:val="0"/>
                <w:color w:val="auto"/>
                <w:sz w:val="24"/>
              </w:rPr>
              <w:t>的为0分-3分（含），不满足的为0分。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702" w:type="dxa"/>
            <w:noWrap w:val="0"/>
            <w:vAlign w:val="center"/>
          </w:tcPr>
          <w:p>
            <w:pPr>
              <w:adjustRightInd w:val="0"/>
              <w:snapToGrid w:val="0"/>
              <w:spacing w:line="360" w:lineRule="auto"/>
              <w:rPr>
                <w:rFonts w:ascii="宋体" w:hAnsi="宋体" w:cs="宋体"/>
                <w:b w:val="0"/>
                <w:bCs w:val="0"/>
                <w:sz w:val="24"/>
              </w:rPr>
            </w:pPr>
            <w:r>
              <w:rPr>
                <w:rFonts w:hint="eastAsia" w:ascii="宋体" w:hAnsi="宋体" w:cs="宋体"/>
                <w:b w:val="0"/>
                <w:bCs w:val="0"/>
                <w:sz w:val="24"/>
              </w:rPr>
              <w:t>测量与试验</w:t>
            </w:r>
          </w:p>
        </w:tc>
        <w:tc>
          <w:tcPr>
            <w:tcW w:w="811" w:type="dxa"/>
            <w:noWrap w:val="0"/>
            <w:vAlign w:val="center"/>
          </w:tcPr>
          <w:p>
            <w:pPr>
              <w:spacing w:line="360" w:lineRule="auto"/>
              <w:rPr>
                <w:rFonts w:ascii="宋体" w:hAnsi="宋体" w:cs="宋体"/>
                <w:b w:val="0"/>
                <w:bCs w:val="0"/>
                <w:sz w:val="24"/>
              </w:rPr>
            </w:pPr>
            <w:r>
              <w:rPr>
                <w:rFonts w:ascii="宋体" w:hAnsi="宋体" w:cs="宋体"/>
                <w:b w:val="0"/>
                <w:bCs w:val="0"/>
                <w:sz w:val="24"/>
              </w:rPr>
              <w:t>3</w:t>
            </w:r>
            <w:r>
              <w:rPr>
                <w:rFonts w:hint="eastAsia" w:ascii="宋体" w:hAnsi="宋体" w:cs="宋体"/>
                <w:b w:val="0"/>
                <w:bCs w:val="0"/>
                <w:color w:val="auto"/>
                <w:sz w:val="24"/>
              </w:rPr>
              <w:t>分</w:t>
            </w:r>
          </w:p>
        </w:tc>
        <w:tc>
          <w:tcPr>
            <w:tcW w:w="6046" w:type="dxa"/>
            <w:noWrap w:val="0"/>
            <w:vAlign w:val="center"/>
          </w:tcPr>
          <w:p>
            <w:pPr>
              <w:spacing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测量仪器与检测设施配备是否得当、测量与检测方法、控制措施是否有效。</w:t>
            </w:r>
          </w:p>
          <w:p>
            <w:pPr>
              <w:spacing w:line="360" w:lineRule="auto"/>
              <w:rPr>
                <w:rFonts w:hint="eastAsia" w:ascii="宋体" w:hAnsi="宋体" w:cs="宋体"/>
                <w:b w:val="0"/>
                <w:bCs w:val="0"/>
                <w:color w:val="auto"/>
                <w:sz w:val="24"/>
              </w:rPr>
            </w:pPr>
            <w:r>
              <w:rPr>
                <w:rFonts w:hint="eastAsia" w:ascii="宋体" w:hAnsi="宋体" w:eastAsia="宋体" w:cs="宋体"/>
                <w:b w:val="0"/>
                <w:bCs w:val="0"/>
                <w:color w:val="auto"/>
                <w:sz w:val="24"/>
                <w:lang w:val="en-US" w:eastAsia="zh-CN"/>
              </w:rPr>
              <w:t>好</w:t>
            </w:r>
            <w:r>
              <w:rPr>
                <w:rFonts w:hint="eastAsia" w:ascii="宋体" w:hAnsi="宋体" w:eastAsia="宋体" w:cs="宋体"/>
                <w:b w:val="0"/>
                <w:bCs w:val="0"/>
                <w:color w:val="auto"/>
                <w:sz w:val="24"/>
              </w:rPr>
              <w:t>的为</w:t>
            </w: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sz w:val="24"/>
              </w:rPr>
              <w:t>分-</w:t>
            </w:r>
            <w:r>
              <w:rPr>
                <w:rFonts w:hint="eastAsia" w:ascii="宋体" w:hAnsi="宋体" w:eastAsia="宋体" w:cs="宋体"/>
                <w:b w:val="0"/>
                <w:bCs w:val="0"/>
                <w:color w:val="auto"/>
                <w:sz w:val="24"/>
                <w:lang w:val="en-US" w:eastAsia="zh-CN"/>
              </w:rPr>
              <w:t>3</w:t>
            </w:r>
            <w:r>
              <w:rPr>
                <w:rFonts w:hint="eastAsia" w:ascii="宋体" w:hAnsi="宋体" w:eastAsia="宋体" w:cs="宋体"/>
                <w:b w:val="0"/>
                <w:bCs w:val="0"/>
                <w:color w:val="auto"/>
                <w:sz w:val="24"/>
              </w:rPr>
              <w:t>分（含），</w:t>
            </w:r>
            <w:r>
              <w:rPr>
                <w:rFonts w:hint="eastAsia" w:ascii="宋体" w:hAnsi="宋体" w:eastAsia="宋体" w:cs="宋体"/>
                <w:b w:val="0"/>
                <w:bCs w:val="0"/>
                <w:color w:val="auto"/>
                <w:sz w:val="24"/>
                <w:lang w:val="en-US" w:eastAsia="zh-CN"/>
              </w:rPr>
              <w:t>一般</w:t>
            </w:r>
            <w:r>
              <w:rPr>
                <w:rFonts w:hint="eastAsia" w:ascii="宋体" w:hAnsi="宋体" w:eastAsia="宋体" w:cs="宋体"/>
                <w:b w:val="0"/>
                <w:bCs w:val="0"/>
                <w:color w:val="auto"/>
                <w:sz w:val="24"/>
              </w:rPr>
              <w:t>的为</w:t>
            </w:r>
            <w:r>
              <w:rPr>
                <w:rFonts w:hint="eastAsia" w:ascii="宋体" w:hAnsi="宋体" w:eastAsia="宋体" w:cs="宋体"/>
                <w:b w:val="0"/>
                <w:bCs w:val="0"/>
                <w:color w:val="auto"/>
                <w:sz w:val="24"/>
                <w:lang w:val="en-US" w:eastAsia="zh-CN"/>
              </w:rPr>
              <w:t>1</w:t>
            </w:r>
            <w:r>
              <w:rPr>
                <w:rFonts w:hint="eastAsia" w:ascii="宋体" w:hAnsi="宋体" w:eastAsia="宋体" w:cs="宋体"/>
                <w:b w:val="0"/>
                <w:bCs w:val="0"/>
                <w:color w:val="auto"/>
                <w:sz w:val="24"/>
              </w:rPr>
              <w:t>分-</w:t>
            </w: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sz w:val="24"/>
              </w:rPr>
              <w:t>分（含），</w:t>
            </w:r>
            <w:r>
              <w:rPr>
                <w:rFonts w:hint="eastAsia" w:ascii="宋体" w:hAnsi="宋体" w:eastAsia="宋体" w:cs="宋体"/>
                <w:b w:val="0"/>
                <w:bCs w:val="0"/>
                <w:color w:val="auto"/>
                <w:sz w:val="24"/>
                <w:lang w:val="en-US" w:eastAsia="zh-CN"/>
              </w:rPr>
              <w:t>较差</w:t>
            </w:r>
            <w:r>
              <w:rPr>
                <w:rFonts w:hint="eastAsia" w:ascii="宋体" w:hAnsi="宋体" w:eastAsia="宋体" w:cs="宋体"/>
                <w:b w:val="0"/>
                <w:bCs w:val="0"/>
                <w:color w:val="auto"/>
                <w:sz w:val="24"/>
              </w:rPr>
              <w:t>的为0分-</w:t>
            </w:r>
            <w:r>
              <w:rPr>
                <w:rFonts w:hint="eastAsia" w:ascii="宋体" w:hAnsi="宋体" w:eastAsia="宋体" w:cs="宋体"/>
                <w:b w:val="0"/>
                <w:bCs w:val="0"/>
                <w:color w:val="auto"/>
                <w:sz w:val="24"/>
                <w:lang w:val="en-US" w:eastAsia="zh-CN"/>
              </w:rPr>
              <w:t>1</w:t>
            </w:r>
            <w:r>
              <w:rPr>
                <w:rFonts w:hint="eastAsia" w:ascii="宋体" w:hAnsi="宋体" w:eastAsia="宋体" w:cs="宋体"/>
                <w:b w:val="0"/>
                <w:bCs w:val="0"/>
                <w:color w:val="auto"/>
                <w:sz w:val="24"/>
              </w:rPr>
              <w:t>分（含），不满足的为0分。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702" w:type="dxa"/>
            <w:noWrap w:val="0"/>
            <w:vAlign w:val="center"/>
          </w:tcPr>
          <w:p>
            <w:pPr>
              <w:adjustRightInd w:val="0"/>
              <w:snapToGrid w:val="0"/>
              <w:spacing w:line="360" w:lineRule="auto"/>
              <w:rPr>
                <w:rFonts w:hint="eastAsia" w:ascii="宋体" w:hAnsi="宋体" w:cs="宋体"/>
                <w:b w:val="0"/>
                <w:bCs w:val="0"/>
                <w:sz w:val="24"/>
              </w:rPr>
            </w:pPr>
            <w:r>
              <w:rPr>
                <w:rFonts w:hint="eastAsia" w:ascii="宋体" w:hAnsi="宋体" w:cs="宋体"/>
                <w:b w:val="0"/>
                <w:bCs w:val="0"/>
                <w:sz w:val="24"/>
              </w:rPr>
              <w:t>总监理工程师情况</w:t>
            </w:r>
          </w:p>
        </w:tc>
        <w:tc>
          <w:tcPr>
            <w:tcW w:w="811" w:type="dxa"/>
            <w:noWrap w:val="0"/>
            <w:vAlign w:val="center"/>
          </w:tcPr>
          <w:p>
            <w:pPr>
              <w:spacing w:line="360" w:lineRule="auto"/>
              <w:rPr>
                <w:rFonts w:hint="eastAsia" w:ascii="宋体" w:hAnsi="宋体" w:cs="宋体"/>
                <w:b w:val="0"/>
                <w:bCs w:val="0"/>
                <w:sz w:val="24"/>
              </w:rPr>
            </w:pPr>
            <w:r>
              <w:rPr>
                <w:rFonts w:hint="eastAsia" w:ascii="宋体" w:hAnsi="宋体" w:cs="宋体"/>
                <w:b w:val="0"/>
                <w:bCs w:val="0"/>
                <w:sz w:val="24"/>
              </w:rPr>
              <w:t>10</w:t>
            </w:r>
            <w:r>
              <w:rPr>
                <w:rFonts w:hint="eastAsia" w:ascii="宋体" w:hAnsi="宋体" w:cs="宋体"/>
                <w:b w:val="0"/>
                <w:bCs w:val="0"/>
                <w:color w:val="auto"/>
                <w:sz w:val="24"/>
              </w:rPr>
              <w:t>分</w:t>
            </w:r>
          </w:p>
        </w:tc>
        <w:tc>
          <w:tcPr>
            <w:tcW w:w="6046" w:type="dxa"/>
            <w:noWrap w:val="0"/>
            <w:vAlign w:val="center"/>
          </w:tcPr>
          <w:p>
            <w:pPr>
              <w:spacing w:line="360" w:lineRule="auto"/>
              <w:rPr>
                <w:rFonts w:hint="eastAsia" w:ascii="宋体" w:hAnsi="宋体" w:eastAsia="宋体" w:cs="宋体"/>
                <w:b w:val="0"/>
                <w:bCs w:val="0"/>
                <w:color w:val="auto"/>
                <w:sz w:val="24"/>
                <w:lang w:eastAsia="zh-CN"/>
              </w:rPr>
            </w:pPr>
            <w:r>
              <w:rPr>
                <w:rFonts w:hint="eastAsia" w:ascii="宋体" w:hAnsi="宋体" w:cs="宋体"/>
                <w:b w:val="0"/>
                <w:bCs w:val="0"/>
                <w:color w:val="auto"/>
                <w:sz w:val="24"/>
              </w:rPr>
              <w:t>1）一、评审内容：总监理工程师近三年以来工作业绩，工作业绩与本项目服务内容及技术特点的匹配情况</w:t>
            </w:r>
            <w:r>
              <w:rPr>
                <w:rFonts w:hint="eastAsia" w:ascii="宋体" w:hAnsi="宋体" w:cs="宋体"/>
                <w:b w:val="0"/>
                <w:bCs w:val="0"/>
                <w:color w:val="auto"/>
                <w:sz w:val="24"/>
                <w:lang w:eastAsia="zh-CN"/>
              </w:rPr>
              <w:t>。</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二、评审标准：</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自2020年1</w:t>
            </w:r>
            <w:r>
              <w:rPr>
                <w:rFonts w:hint="eastAsia" w:ascii="宋体" w:hAnsi="宋体" w:cs="宋体"/>
                <w:b w:val="0"/>
                <w:bCs w:val="0"/>
                <w:color w:val="auto"/>
                <w:sz w:val="24"/>
                <w:lang w:val="en-US" w:eastAsia="zh-CN"/>
              </w:rPr>
              <w:t>1</w:t>
            </w:r>
            <w:r>
              <w:rPr>
                <w:rFonts w:hint="eastAsia" w:ascii="宋体" w:hAnsi="宋体" w:cs="宋体"/>
                <w:b w:val="0"/>
                <w:bCs w:val="0"/>
                <w:color w:val="auto"/>
                <w:sz w:val="24"/>
              </w:rPr>
              <w:t>月1日以来工作业绩是否有类似项目；</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需提供担任本项目总监理工程师人员的业绩证明材料，以合同扫描件</w:t>
            </w:r>
            <w:r>
              <w:rPr>
                <w:rFonts w:hint="eastAsia" w:ascii="宋体" w:hAnsi="宋体" w:cs="宋体"/>
                <w:b w:val="0"/>
                <w:bCs w:val="0"/>
                <w:color w:val="auto"/>
                <w:sz w:val="24"/>
                <w:lang w:val="en-US" w:eastAsia="zh-CN"/>
              </w:rPr>
              <w:t>或</w:t>
            </w:r>
            <w:r>
              <w:rPr>
                <w:rFonts w:hint="eastAsia" w:ascii="宋体" w:hAnsi="宋体" w:cs="宋体"/>
                <w:b w:val="0"/>
                <w:bCs w:val="0"/>
                <w:color w:val="auto"/>
                <w:sz w:val="24"/>
              </w:rPr>
              <w:t>验收报告或专家验收意见作为评审依据，每提供1份有效证明文件得1分，最高得4分。合同扫描件、验收报告和专家验收意见中需包含总监姓名，否则不予认可。</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2）一、评审内容：总监理工程师资历、职称与荣誉等。</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二、评审标准：</w:t>
            </w:r>
            <w:r>
              <w:rPr>
                <w:rFonts w:hint="eastAsia" w:ascii="宋体" w:hAnsi="宋体" w:cs="宋体"/>
                <w:b w:val="0"/>
                <w:bCs w:val="0"/>
                <w:color w:val="auto"/>
                <w:sz w:val="24"/>
                <w:lang w:val="en-US" w:eastAsia="zh-CN"/>
              </w:rPr>
              <w:t>1.</w:t>
            </w:r>
            <w:r>
              <w:rPr>
                <w:rFonts w:hint="eastAsia" w:ascii="宋体" w:hAnsi="宋体" w:cs="宋体"/>
                <w:b w:val="0"/>
                <w:bCs w:val="0"/>
                <w:color w:val="auto"/>
                <w:sz w:val="24"/>
              </w:rPr>
              <w:t>总监理工程师具有信息系统工程监理师证且超过5年的，提供证明材料（得2分，未提供不得分）；</w:t>
            </w:r>
            <w:r>
              <w:rPr>
                <w:rFonts w:hint="eastAsia" w:ascii="宋体" w:hAnsi="宋体" w:cs="宋体"/>
                <w:b w:val="0"/>
                <w:bCs w:val="0"/>
                <w:color w:val="auto"/>
                <w:sz w:val="24"/>
                <w:lang w:val="en-US" w:eastAsia="zh-CN"/>
              </w:rPr>
              <w:t>2.</w:t>
            </w:r>
            <w:r>
              <w:rPr>
                <w:rFonts w:hint="eastAsia" w:ascii="宋体" w:hAnsi="宋体" w:cs="宋体"/>
                <w:b w:val="0"/>
                <w:bCs w:val="0"/>
                <w:color w:val="auto"/>
                <w:sz w:val="24"/>
              </w:rPr>
              <w:t>具有软件质量职业资格证书、系统分析师证书、大数据分析师（高级）证书、近五年获得相关部门颁发的荣誉证书的，每提供1项得1分，最高4分。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702" w:type="dxa"/>
            <w:noWrap w:val="0"/>
            <w:vAlign w:val="center"/>
          </w:tcPr>
          <w:p>
            <w:pPr>
              <w:widowControl/>
              <w:spacing w:line="360" w:lineRule="auto"/>
              <w:rPr>
                <w:rFonts w:hint="eastAsia" w:ascii="宋体" w:hAnsi="宋体" w:cs="宋体"/>
                <w:b w:val="0"/>
                <w:bCs w:val="0"/>
                <w:sz w:val="24"/>
              </w:rPr>
            </w:pPr>
            <w:r>
              <w:rPr>
                <w:rFonts w:hint="eastAsia" w:ascii="宋体" w:hAnsi="宋体" w:cs="宋体"/>
                <w:b w:val="0"/>
                <w:bCs w:val="0"/>
                <w:sz w:val="24"/>
              </w:rPr>
              <w:t>项目组成员情况</w:t>
            </w:r>
          </w:p>
        </w:tc>
        <w:tc>
          <w:tcPr>
            <w:tcW w:w="811" w:type="dxa"/>
            <w:noWrap w:val="0"/>
            <w:vAlign w:val="center"/>
          </w:tcPr>
          <w:p>
            <w:pPr>
              <w:spacing w:line="360" w:lineRule="auto"/>
              <w:rPr>
                <w:rFonts w:ascii="宋体" w:hAnsi="宋体" w:cs="宋体"/>
                <w:b w:val="0"/>
                <w:bCs w:val="0"/>
                <w:sz w:val="24"/>
              </w:rPr>
            </w:pPr>
            <w:r>
              <w:rPr>
                <w:rFonts w:ascii="宋体" w:hAnsi="宋体" w:cs="宋体"/>
                <w:b w:val="0"/>
                <w:bCs w:val="0"/>
                <w:sz w:val="24"/>
              </w:rPr>
              <w:t>12</w:t>
            </w:r>
            <w:r>
              <w:rPr>
                <w:rFonts w:hint="eastAsia" w:ascii="宋体" w:hAnsi="宋体" w:cs="宋体"/>
                <w:b w:val="0"/>
                <w:bCs w:val="0"/>
                <w:color w:val="auto"/>
                <w:sz w:val="24"/>
              </w:rPr>
              <w:t>分</w:t>
            </w:r>
          </w:p>
        </w:tc>
        <w:tc>
          <w:tcPr>
            <w:tcW w:w="6046" w:type="dxa"/>
            <w:noWrap w:val="0"/>
            <w:vAlign w:val="center"/>
          </w:tcPr>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一、评审内容：项目团队的人员数量、持证情况；项目团队专业分工情况及业绩情况。</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二、评审标准：</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1.项目人员具有信息系统工程监理师证</w:t>
            </w:r>
            <w:r>
              <w:rPr>
                <w:rFonts w:hint="eastAsia" w:ascii="宋体" w:hAnsi="宋体" w:cs="宋体"/>
                <w:b w:val="0"/>
                <w:bCs w:val="0"/>
                <w:color w:val="auto"/>
                <w:sz w:val="24"/>
                <w:lang w:val="en-US" w:eastAsia="zh-CN"/>
              </w:rPr>
              <w:t>及</w:t>
            </w:r>
            <w:r>
              <w:rPr>
                <w:rFonts w:hint="eastAsia" w:ascii="宋体" w:hAnsi="宋体" w:cs="宋体"/>
                <w:b w:val="0"/>
                <w:bCs w:val="0"/>
                <w:color w:val="auto"/>
                <w:sz w:val="24"/>
              </w:rPr>
              <w:t>相关经验的，每人得1分，最高8分。</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2.项目人员具有信息系统项目管理师证书、系统分析师证书、高级软件工程师证书、高级数据库管理工程师证书、高级软件测试工程师证书、云计算技术工程师证书、大数据分析师证书、网络规划设计师证书、网络工程师证书、网络安全系统测评师证书、信息安全师证书、网络安全防护师证书等</w:t>
            </w:r>
            <w:r>
              <w:rPr>
                <w:rFonts w:hint="eastAsia" w:ascii="宋体" w:hAnsi="宋体" w:cs="宋体"/>
                <w:b w:val="0"/>
                <w:bCs w:val="0"/>
                <w:color w:val="auto"/>
                <w:sz w:val="24"/>
                <w:lang w:eastAsia="zh-CN"/>
              </w:rPr>
              <w:t>，</w:t>
            </w:r>
            <w:r>
              <w:rPr>
                <w:rFonts w:hint="eastAsia" w:ascii="宋体" w:hAnsi="宋体" w:cs="宋体"/>
                <w:b w:val="0"/>
                <w:bCs w:val="0"/>
                <w:color w:val="auto"/>
                <w:sz w:val="24"/>
              </w:rPr>
              <w:t>每</w:t>
            </w:r>
            <w:r>
              <w:rPr>
                <w:rFonts w:hint="eastAsia" w:ascii="宋体" w:hAnsi="宋体" w:cs="宋体"/>
                <w:b w:val="0"/>
                <w:bCs w:val="0"/>
                <w:color w:val="auto"/>
                <w:sz w:val="24"/>
                <w:lang w:val="en-US" w:eastAsia="zh-CN"/>
              </w:rPr>
              <w:t>提供一份</w:t>
            </w:r>
            <w:r>
              <w:rPr>
                <w:rFonts w:hint="eastAsia" w:ascii="宋体" w:hAnsi="宋体" w:cs="宋体"/>
                <w:b w:val="0"/>
                <w:bCs w:val="0"/>
                <w:color w:val="auto"/>
                <w:sz w:val="24"/>
              </w:rPr>
              <w:t>证</w:t>
            </w:r>
            <w:r>
              <w:rPr>
                <w:rFonts w:hint="eastAsia" w:ascii="宋体" w:hAnsi="宋体" w:cs="宋体"/>
                <w:b w:val="0"/>
                <w:bCs w:val="0"/>
                <w:color w:val="auto"/>
                <w:sz w:val="24"/>
                <w:lang w:val="en-US" w:eastAsia="zh-CN"/>
              </w:rPr>
              <w:t>书</w:t>
            </w:r>
            <w:r>
              <w:rPr>
                <w:rFonts w:hint="eastAsia" w:ascii="宋体" w:hAnsi="宋体" w:cs="宋体"/>
                <w:b w:val="0"/>
                <w:bCs w:val="0"/>
                <w:color w:val="auto"/>
                <w:sz w:val="24"/>
              </w:rPr>
              <w:t>得0.5分，最高4分。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02" w:type="dxa"/>
            <w:noWrap w:val="0"/>
            <w:vAlign w:val="center"/>
          </w:tcPr>
          <w:p>
            <w:pPr>
              <w:widowControl/>
              <w:spacing w:line="360" w:lineRule="auto"/>
              <w:rPr>
                <w:rFonts w:hint="eastAsia" w:ascii="宋体" w:hAnsi="宋体" w:cs="宋体"/>
                <w:b w:val="0"/>
                <w:bCs w:val="0"/>
                <w:sz w:val="24"/>
              </w:rPr>
            </w:pPr>
            <w:r>
              <w:rPr>
                <w:rFonts w:hint="eastAsia" w:ascii="宋体" w:hAnsi="宋体" w:cs="宋体"/>
                <w:b w:val="0"/>
                <w:bCs w:val="0"/>
                <w:sz w:val="24"/>
              </w:rPr>
              <w:t>三、商务部分</w:t>
            </w:r>
          </w:p>
        </w:tc>
        <w:tc>
          <w:tcPr>
            <w:tcW w:w="811" w:type="dxa"/>
            <w:noWrap w:val="0"/>
            <w:vAlign w:val="center"/>
          </w:tcPr>
          <w:p>
            <w:pPr>
              <w:spacing w:line="360" w:lineRule="auto"/>
              <w:rPr>
                <w:rFonts w:hint="eastAsia" w:ascii="宋体" w:hAnsi="宋体" w:cs="宋体"/>
                <w:b w:val="0"/>
                <w:bCs w:val="0"/>
                <w:sz w:val="24"/>
              </w:rPr>
            </w:pPr>
            <w:r>
              <w:rPr>
                <w:rFonts w:hint="eastAsia" w:ascii="宋体" w:hAnsi="宋体" w:cs="宋体"/>
                <w:b w:val="0"/>
                <w:bCs w:val="0"/>
                <w:sz w:val="24"/>
              </w:rPr>
              <w:t>1</w:t>
            </w:r>
            <w:r>
              <w:rPr>
                <w:rFonts w:ascii="宋体" w:hAnsi="宋体" w:cs="宋体"/>
                <w:b w:val="0"/>
                <w:bCs w:val="0"/>
                <w:sz w:val="24"/>
              </w:rPr>
              <w:t>5</w:t>
            </w:r>
            <w:r>
              <w:rPr>
                <w:rFonts w:hint="eastAsia" w:ascii="宋体" w:hAnsi="宋体" w:cs="宋体"/>
                <w:b w:val="0"/>
                <w:bCs w:val="0"/>
                <w:color w:val="auto"/>
                <w:sz w:val="24"/>
              </w:rPr>
              <w:t>分</w:t>
            </w:r>
          </w:p>
        </w:tc>
        <w:tc>
          <w:tcPr>
            <w:tcW w:w="6046" w:type="dxa"/>
            <w:noWrap w:val="0"/>
            <w:vAlign w:val="center"/>
          </w:tcPr>
          <w:p>
            <w:pPr>
              <w:spacing w:line="360" w:lineRule="auto"/>
              <w:rPr>
                <w:rFonts w:hint="eastAsia" w:ascii="宋体" w:hAnsi="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02" w:type="dxa"/>
            <w:noWrap w:val="0"/>
            <w:vAlign w:val="center"/>
          </w:tcPr>
          <w:p>
            <w:pPr>
              <w:widowControl/>
              <w:spacing w:line="360" w:lineRule="auto"/>
              <w:rPr>
                <w:rFonts w:hint="eastAsia" w:ascii="宋体" w:hAnsi="宋体" w:cs="宋体"/>
                <w:b w:val="0"/>
                <w:bCs w:val="0"/>
                <w:sz w:val="24"/>
              </w:rPr>
            </w:pPr>
            <w:r>
              <w:rPr>
                <w:rFonts w:hint="eastAsia" w:ascii="宋体" w:hAnsi="宋体" w:cs="宋体"/>
                <w:b w:val="0"/>
                <w:bCs w:val="0"/>
                <w:sz w:val="24"/>
              </w:rPr>
              <w:t>类似项目业绩</w:t>
            </w:r>
          </w:p>
        </w:tc>
        <w:tc>
          <w:tcPr>
            <w:tcW w:w="811" w:type="dxa"/>
            <w:noWrap w:val="0"/>
            <w:vAlign w:val="center"/>
          </w:tcPr>
          <w:p>
            <w:pPr>
              <w:spacing w:line="360" w:lineRule="auto"/>
              <w:rPr>
                <w:rFonts w:hint="eastAsia" w:ascii="宋体" w:hAnsi="宋体" w:cs="宋体"/>
                <w:b w:val="0"/>
                <w:bCs w:val="0"/>
                <w:sz w:val="24"/>
              </w:rPr>
            </w:pPr>
            <w:r>
              <w:rPr>
                <w:rFonts w:hint="eastAsia" w:ascii="宋体" w:hAnsi="宋体" w:cs="宋体"/>
                <w:b w:val="0"/>
                <w:bCs w:val="0"/>
                <w:sz w:val="24"/>
              </w:rPr>
              <w:t>5</w:t>
            </w:r>
            <w:r>
              <w:rPr>
                <w:rFonts w:hint="eastAsia" w:ascii="宋体" w:hAnsi="宋体" w:cs="宋体"/>
                <w:b w:val="0"/>
                <w:bCs w:val="0"/>
                <w:color w:val="auto"/>
                <w:sz w:val="24"/>
              </w:rPr>
              <w:t>分</w:t>
            </w:r>
          </w:p>
        </w:tc>
        <w:tc>
          <w:tcPr>
            <w:tcW w:w="6046" w:type="dxa"/>
            <w:noWrap w:val="0"/>
            <w:vAlign w:val="center"/>
          </w:tcPr>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投标人自2020年1</w:t>
            </w:r>
            <w:r>
              <w:rPr>
                <w:rFonts w:hint="eastAsia" w:ascii="宋体" w:hAnsi="宋体" w:cs="宋体"/>
                <w:b w:val="0"/>
                <w:bCs w:val="0"/>
                <w:color w:val="auto"/>
                <w:sz w:val="24"/>
                <w:lang w:val="en-US" w:eastAsia="zh-CN"/>
              </w:rPr>
              <w:t>1</w:t>
            </w:r>
            <w:r>
              <w:rPr>
                <w:rFonts w:hint="eastAsia" w:ascii="宋体" w:hAnsi="宋体" w:cs="宋体"/>
                <w:b w:val="0"/>
                <w:bCs w:val="0"/>
                <w:color w:val="auto"/>
                <w:sz w:val="24"/>
              </w:rPr>
              <w:t>月1日以来承接的类似项目业绩每一个得1分，最高5分。</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rPr>
              <w:t>投标人需提供类似项目的合同扫描件（合同扫描件中需体现合同的签约主体、项目名称、合同金额等合同要素的相关内容</w:t>
            </w:r>
            <w:r>
              <w:rPr>
                <w:rFonts w:hint="eastAsia" w:ascii="宋体" w:hAnsi="宋体" w:cs="宋体"/>
                <w:b w:val="0"/>
                <w:bCs w:val="0"/>
                <w:color w:val="auto"/>
                <w:sz w:val="24"/>
                <w:lang w:eastAsia="zh-CN"/>
              </w:rPr>
              <w:t>，</w:t>
            </w:r>
            <w:r>
              <w:rPr>
                <w:rFonts w:hint="eastAsia" w:ascii="宋体" w:hAnsi="宋体" w:cs="宋体"/>
                <w:b w:val="0"/>
                <w:bCs w:val="0"/>
                <w:color w:val="auto"/>
                <w:sz w:val="24"/>
              </w:rPr>
              <w:t>否则类似项目业绩无效，不得分）。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02" w:type="dxa"/>
            <w:noWrap w:val="0"/>
            <w:vAlign w:val="center"/>
          </w:tcPr>
          <w:p>
            <w:pPr>
              <w:widowControl/>
              <w:spacing w:line="360" w:lineRule="auto"/>
              <w:rPr>
                <w:rFonts w:hint="eastAsia" w:ascii="宋体" w:hAnsi="宋体" w:cs="宋体"/>
                <w:b w:val="0"/>
                <w:bCs w:val="0"/>
                <w:sz w:val="24"/>
              </w:rPr>
            </w:pPr>
            <w:r>
              <w:rPr>
                <w:rFonts w:hint="eastAsia" w:ascii="宋体" w:hAnsi="宋体" w:cs="宋体"/>
                <w:b w:val="0"/>
                <w:bCs w:val="0"/>
                <w:sz w:val="24"/>
              </w:rPr>
              <w:t>企业综合实力</w:t>
            </w:r>
          </w:p>
        </w:tc>
        <w:tc>
          <w:tcPr>
            <w:tcW w:w="811" w:type="dxa"/>
            <w:noWrap w:val="0"/>
            <w:vAlign w:val="center"/>
          </w:tcPr>
          <w:p>
            <w:pPr>
              <w:spacing w:line="360" w:lineRule="auto"/>
              <w:rPr>
                <w:rFonts w:hint="eastAsia" w:ascii="宋体" w:hAnsi="宋体" w:cs="宋体"/>
                <w:b w:val="0"/>
                <w:bCs w:val="0"/>
                <w:sz w:val="24"/>
              </w:rPr>
            </w:pPr>
            <w:r>
              <w:rPr>
                <w:rFonts w:hint="eastAsia" w:ascii="宋体" w:hAnsi="宋体" w:cs="宋体"/>
                <w:b w:val="0"/>
                <w:bCs w:val="0"/>
                <w:sz w:val="24"/>
              </w:rPr>
              <w:t>1</w:t>
            </w:r>
            <w:r>
              <w:rPr>
                <w:rFonts w:ascii="宋体" w:hAnsi="宋体" w:cs="宋体"/>
                <w:b w:val="0"/>
                <w:bCs w:val="0"/>
                <w:sz w:val="24"/>
              </w:rPr>
              <w:t>0</w:t>
            </w:r>
            <w:r>
              <w:rPr>
                <w:rFonts w:hint="eastAsia" w:ascii="宋体" w:hAnsi="宋体" w:cs="宋体"/>
                <w:b w:val="0"/>
                <w:bCs w:val="0"/>
                <w:color w:val="auto"/>
                <w:sz w:val="24"/>
              </w:rPr>
              <w:t>分</w:t>
            </w:r>
          </w:p>
        </w:tc>
        <w:tc>
          <w:tcPr>
            <w:tcW w:w="6046" w:type="dxa"/>
            <w:noWrap w:val="0"/>
            <w:vAlign w:val="center"/>
          </w:tcPr>
          <w:p>
            <w:pPr>
              <w:spacing w:line="360" w:lineRule="auto"/>
              <w:rPr>
                <w:rFonts w:hint="eastAsia" w:ascii="宋体" w:hAnsi="宋体" w:cs="宋体"/>
                <w:b w:val="0"/>
                <w:bCs w:val="0"/>
                <w:color w:val="auto"/>
                <w:sz w:val="24"/>
              </w:rPr>
            </w:pPr>
            <w:r>
              <w:rPr>
                <w:rFonts w:hint="eastAsia" w:ascii="宋体" w:hAnsi="宋体" w:cs="宋体"/>
                <w:b w:val="0"/>
                <w:bCs w:val="0"/>
                <w:color w:val="auto"/>
                <w:sz w:val="24"/>
                <w:lang w:val="en-US" w:eastAsia="zh-CN"/>
              </w:rPr>
              <w:t>1.</w:t>
            </w:r>
            <w:r>
              <w:rPr>
                <w:rFonts w:hint="eastAsia" w:ascii="宋体" w:hAnsi="宋体" w:cs="宋体"/>
                <w:b w:val="0"/>
                <w:bCs w:val="0"/>
                <w:color w:val="auto"/>
                <w:sz w:val="24"/>
              </w:rPr>
              <w:t>具有信息系统工程监理单位乙级或以上证书的，得</w:t>
            </w:r>
            <w:r>
              <w:rPr>
                <w:rFonts w:hint="eastAsia" w:ascii="宋体" w:hAnsi="宋体" w:cs="宋体"/>
                <w:b w:val="0"/>
                <w:bCs w:val="0"/>
                <w:color w:val="auto"/>
                <w:sz w:val="24"/>
                <w:lang w:val="en-US" w:eastAsia="zh-CN"/>
              </w:rPr>
              <w:t>3</w:t>
            </w:r>
            <w:r>
              <w:rPr>
                <w:rFonts w:hint="eastAsia" w:ascii="宋体" w:hAnsi="宋体" w:cs="宋体"/>
                <w:b w:val="0"/>
                <w:bCs w:val="0"/>
                <w:color w:val="auto"/>
                <w:sz w:val="24"/>
              </w:rPr>
              <w:t>分。</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lang w:val="en-US" w:eastAsia="zh-CN"/>
              </w:rPr>
              <w:t>2.</w:t>
            </w:r>
            <w:r>
              <w:rPr>
                <w:rFonts w:hint="eastAsia" w:ascii="宋体" w:hAnsi="宋体" w:cs="宋体"/>
                <w:b w:val="0"/>
                <w:bCs w:val="0"/>
                <w:color w:val="auto"/>
                <w:sz w:val="24"/>
              </w:rPr>
              <w:t>具有ISO9001证书、ISO20000证书、ISO45001证书，每项得1分，最高3分。</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lang w:val="en-US" w:eastAsia="zh-CN"/>
              </w:rPr>
              <w:t>3.</w:t>
            </w:r>
            <w:r>
              <w:rPr>
                <w:rFonts w:hint="eastAsia" w:ascii="宋体" w:hAnsi="宋体" w:cs="宋体"/>
                <w:b w:val="0"/>
                <w:bCs w:val="0"/>
                <w:color w:val="auto"/>
                <w:sz w:val="24"/>
              </w:rPr>
              <w:t>具有自主知识产权（专利、著作权）的，每项得0.5分，最高3分。</w:t>
            </w:r>
          </w:p>
          <w:p>
            <w:pPr>
              <w:spacing w:line="360" w:lineRule="auto"/>
              <w:rPr>
                <w:rFonts w:hint="eastAsia" w:ascii="宋体" w:hAnsi="宋体" w:cs="宋体"/>
                <w:b w:val="0"/>
                <w:bCs w:val="0"/>
                <w:color w:val="auto"/>
                <w:sz w:val="24"/>
              </w:rPr>
            </w:pPr>
            <w:r>
              <w:rPr>
                <w:rFonts w:hint="eastAsia" w:ascii="宋体" w:hAnsi="宋体" w:cs="宋体"/>
                <w:b w:val="0"/>
                <w:bCs w:val="0"/>
                <w:color w:val="auto"/>
                <w:sz w:val="24"/>
                <w:lang w:val="en-US" w:eastAsia="zh-CN"/>
              </w:rPr>
              <w:t>4.</w:t>
            </w:r>
            <w:r>
              <w:rPr>
                <w:rFonts w:hint="eastAsia" w:ascii="宋体" w:hAnsi="宋体" w:cs="宋体"/>
                <w:b w:val="0"/>
                <w:bCs w:val="0"/>
                <w:color w:val="auto"/>
                <w:sz w:val="24"/>
              </w:rPr>
              <w:t>具有2017年至今相关部门颁发的荣誉证书</w:t>
            </w:r>
            <w:r>
              <w:rPr>
                <w:rFonts w:hint="eastAsia" w:ascii="宋体" w:hAnsi="宋体" w:cs="宋体"/>
                <w:b w:val="0"/>
                <w:bCs w:val="0"/>
                <w:color w:val="auto"/>
                <w:sz w:val="24"/>
                <w:lang w:eastAsia="zh-CN"/>
              </w:rPr>
              <w:t>（</w:t>
            </w:r>
            <w:r>
              <w:rPr>
                <w:rFonts w:hint="eastAsia" w:ascii="宋体" w:hAnsi="宋体" w:cs="宋体"/>
                <w:b w:val="0"/>
                <w:bCs w:val="0"/>
                <w:color w:val="auto"/>
                <w:sz w:val="24"/>
                <w:lang w:val="en-US" w:eastAsia="zh-CN"/>
              </w:rPr>
              <w:t>上述证书内容除外</w:t>
            </w:r>
            <w:r>
              <w:rPr>
                <w:rFonts w:hint="eastAsia" w:ascii="宋体" w:hAnsi="宋体" w:cs="宋体"/>
                <w:b w:val="0"/>
                <w:bCs w:val="0"/>
                <w:color w:val="auto"/>
                <w:sz w:val="24"/>
                <w:lang w:eastAsia="zh-CN"/>
              </w:rPr>
              <w:t>）</w:t>
            </w:r>
            <w:r>
              <w:rPr>
                <w:rFonts w:hint="eastAsia" w:ascii="宋体" w:hAnsi="宋体" w:cs="宋体"/>
                <w:b w:val="0"/>
                <w:bCs w:val="0"/>
                <w:color w:val="auto"/>
                <w:sz w:val="24"/>
              </w:rPr>
              <w:t>的，每项得0.5分，最高1分。</w:t>
            </w:r>
          </w:p>
        </w:tc>
      </w:tr>
    </w:tbl>
    <w:p>
      <w:pPr>
        <w:pStyle w:val="18"/>
        <w:numPr>
          <w:ilvl w:val="0"/>
          <w:numId w:val="0"/>
        </w:numPr>
        <w:spacing w:line="288" w:lineRule="auto"/>
        <w:rPr>
          <w:rFonts w:cs="宋体"/>
          <w:shd w:val="clear" w:color="auto" w:fill="auto"/>
        </w:rPr>
      </w:pPr>
    </w:p>
    <w:p>
      <w:pPr>
        <w:pStyle w:val="29"/>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本项目合同签订后，招标人收到投标人出具的合同总金额50%的正式、合法、有效发票后30个工作日内，通过银行转账支付合同总金额50%；项目竣工、验收合格后，投标人出具的合同总金额50%的正式、合法、有效发票后30个工作日内，招标人向投标人支付合同价款剩余的50%。</w:t>
      </w:r>
    </w:p>
    <w:p>
      <w:pPr>
        <w:rPr>
          <w:rFonts w:ascii="华文仿宋" w:hAnsi="华文仿宋" w:cs="华文仿宋"/>
        </w:rPr>
      </w:pPr>
      <w:r>
        <w:rPr>
          <w:rFonts w:ascii="华文仿宋" w:hAnsi="华文仿宋" w:cs="华文仿宋"/>
        </w:rPr>
        <w:br w:type="page"/>
      </w:r>
    </w:p>
    <w:p>
      <w:pPr>
        <w:pStyle w:val="28"/>
        <w:rPr>
          <w:rFonts w:ascii="华文仿宋" w:hAnsi="华文仿宋" w:cs="华文仿宋"/>
        </w:rPr>
      </w:pPr>
      <w:r>
        <w:rPr>
          <w:rFonts w:hint="eastAsia" w:ascii="华文仿宋" w:hAnsi="华文仿宋" w:cs="华文仿宋"/>
        </w:rPr>
        <w:t>第二章 遴选内容及要求</w:t>
      </w:r>
    </w:p>
    <w:p>
      <w:pPr>
        <w:pStyle w:val="15"/>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重症ICU数字孪生应用平台项目监理服务</w:t>
      </w:r>
    </w:p>
    <w:p>
      <w:pPr>
        <w:pStyle w:val="15"/>
        <w:widowControl/>
        <w:shd w:val="clear" w:color="auto" w:fill="FFFFFF"/>
        <w:adjustRightInd w:val="0"/>
        <w:snapToGrid w:val="0"/>
        <w:spacing w:beforeAutospacing="0" w:afterAutospacing="0" w:line="360" w:lineRule="auto"/>
        <w:jc w:val="both"/>
        <w:rPr>
          <w:rFonts w:hint="default" w:ascii="宋体" w:hAnsi="宋体" w:eastAsia="宋体" w:cs="宋体"/>
          <w:b/>
          <w:bCs/>
          <w:sz w:val="21"/>
          <w:szCs w:val="21"/>
          <w:lang w:val="en-US" w:eastAsia="zh-CN"/>
        </w:rPr>
      </w:pPr>
      <w:r>
        <w:rPr>
          <w:rFonts w:hint="eastAsia" w:ascii="宋体" w:hAnsi="宋体" w:cs="宋体"/>
          <w:b/>
          <w:bCs/>
          <w:shd w:val="clear" w:color="auto" w:fill="FFFFFF"/>
        </w:rPr>
        <w:t>二、</w:t>
      </w:r>
      <w:r>
        <w:rPr>
          <w:rFonts w:hint="eastAsia" w:ascii="宋体" w:hAnsi="宋体" w:cs="宋体"/>
          <w:b/>
          <w:bCs/>
          <w:shd w:val="clear" w:color="auto" w:fill="FFFFFF"/>
          <w:lang w:val="en-US" w:eastAsia="zh-CN"/>
        </w:rPr>
        <w:t>建设</w:t>
      </w:r>
      <w:r>
        <w:rPr>
          <w:rFonts w:hint="eastAsia" w:ascii="宋体" w:hAnsi="宋体" w:cs="宋体"/>
          <w:b/>
          <w:bCs/>
          <w:shd w:val="clear" w:color="auto" w:fill="FFFFFF"/>
        </w:rPr>
        <w:t>地点：</w:t>
      </w:r>
      <w:r>
        <w:rPr>
          <w:rFonts w:hint="eastAsia" w:ascii="宋体" w:hAnsi="宋体" w:cs="宋体"/>
          <w:b w:val="0"/>
          <w:bCs w:val="0"/>
          <w:shd w:val="clear" w:color="auto" w:fill="FFFFFF"/>
          <w:lang w:val="en-US" w:eastAsia="zh-CN"/>
        </w:rPr>
        <w:t>上海市儿童医院</w:t>
      </w:r>
    </w:p>
    <w:p>
      <w:pPr>
        <w:pStyle w:val="15"/>
        <w:widowControl/>
        <w:shd w:val="clear" w:color="auto" w:fill="FFFFFF"/>
        <w:adjustRightInd w:val="0"/>
        <w:snapToGrid w:val="0"/>
        <w:spacing w:beforeAutospacing="0" w:afterAutospacing="0" w:line="360" w:lineRule="auto"/>
        <w:jc w:val="both"/>
        <w:rPr>
          <w:rFonts w:ascii="宋体" w:hAnsi="宋体" w:cs="宋体"/>
          <w:sz w:val="21"/>
          <w:szCs w:val="21"/>
          <w:lang w:eastAsia="zh-Hans"/>
        </w:rPr>
      </w:pPr>
      <w:r>
        <w:rPr>
          <w:rFonts w:hint="eastAsia" w:ascii="宋体" w:hAnsi="宋体" w:cs="宋体"/>
          <w:b/>
          <w:bCs/>
          <w:shd w:val="clear" w:color="auto" w:fill="FFFFFF"/>
        </w:rPr>
        <w:t>三、</w:t>
      </w:r>
      <w:r>
        <w:rPr>
          <w:rFonts w:hint="eastAsia" w:ascii="宋体" w:hAnsi="宋体" w:cs="宋体"/>
          <w:b/>
          <w:bCs/>
          <w:shd w:val="clear" w:color="auto" w:fill="FFFFFF"/>
          <w:lang w:val="en-US" w:eastAsia="zh-CN"/>
        </w:rPr>
        <w:t>监理</w:t>
      </w:r>
      <w:r>
        <w:rPr>
          <w:rFonts w:hint="eastAsia" w:ascii="宋体" w:hAnsi="宋体" w:cs="宋体"/>
          <w:b/>
          <w:bCs/>
          <w:shd w:val="clear" w:color="auto" w:fill="FFFFFF"/>
        </w:rPr>
        <w:t>周期：</w:t>
      </w:r>
      <w:r>
        <w:rPr>
          <w:rFonts w:hint="eastAsia"/>
        </w:rPr>
        <w:t>合同签订</w:t>
      </w:r>
      <w:r>
        <w:rPr>
          <w:rFonts w:hint="eastAsia"/>
          <w:lang w:val="en-US" w:eastAsia="zh-CN"/>
        </w:rPr>
        <w:t>之日起</w:t>
      </w:r>
      <w:r>
        <w:rPr>
          <w:rFonts w:hint="eastAsia"/>
        </w:rPr>
        <w:t>至项目竣工</w:t>
      </w:r>
    </w:p>
    <w:p>
      <w:pPr>
        <w:pStyle w:val="8"/>
        <w:outlineLvl w:val="0"/>
        <w:rPr>
          <w:rFonts w:hint="default" w:ascii="宋体" w:hAnsi="宋体" w:cs="宋体"/>
          <w:b/>
          <w:bCs/>
          <w:sz w:val="24"/>
          <w:shd w:val="clear" w:color="auto" w:fill="FFFFFF"/>
          <w:lang w:val="en-US" w:eastAsia="zh-CN"/>
        </w:rPr>
      </w:pPr>
      <w:r>
        <w:rPr>
          <w:rFonts w:hint="eastAsia" w:ascii="宋体" w:hAnsi="宋体" w:cs="宋体"/>
          <w:b/>
          <w:bCs/>
          <w:sz w:val="24"/>
          <w:shd w:val="clear" w:color="auto" w:fill="FFFFFF"/>
        </w:rPr>
        <w:t>四、</w:t>
      </w:r>
      <w:r>
        <w:rPr>
          <w:rFonts w:hint="eastAsia" w:ascii="宋体" w:hAnsi="宋体" w:cs="宋体"/>
          <w:b/>
          <w:bCs/>
          <w:sz w:val="24"/>
          <w:shd w:val="clear" w:color="auto" w:fill="FFFFFF"/>
          <w:lang w:val="en-US" w:eastAsia="zh-CN"/>
        </w:rPr>
        <w:t>监理服务用户需求</w:t>
      </w:r>
    </w:p>
    <w:p>
      <w:pPr>
        <w:spacing w:line="360" w:lineRule="auto"/>
        <w:jc w:val="left"/>
        <w:rPr>
          <w:rFonts w:hint="eastAsia" w:ascii="宋体" w:hAnsi="宋体" w:cs="宋体"/>
          <w:b/>
          <w:bCs/>
          <w:color w:val="000000"/>
          <w:sz w:val="24"/>
        </w:rPr>
      </w:pPr>
      <w:r>
        <w:rPr>
          <w:rFonts w:hint="eastAsia" w:ascii="宋体" w:hAnsi="宋体" w:cs="宋体"/>
          <w:b/>
          <w:bCs/>
          <w:color w:val="000000"/>
          <w:sz w:val="24"/>
        </w:rPr>
        <w:t>1.项目建设内容</w:t>
      </w:r>
    </w:p>
    <w:p>
      <w:pPr>
        <w:spacing w:line="360" w:lineRule="auto"/>
        <w:jc w:val="left"/>
        <w:rPr>
          <w:rFonts w:hint="eastAsia" w:ascii="宋体" w:hAnsi="宋体" w:cs="宋体"/>
          <w:color w:val="000000"/>
          <w:sz w:val="24"/>
        </w:rPr>
      </w:pPr>
      <w:r>
        <w:rPr>
          <w:rFonts w:hint="eastAsia" w:ascii="宋体" w:hAnsi="宋体" w:cs="宋体"/>
          <w:color w:val="000000"/>
          <w:sz w:val="24"/>
        </w:rPr>
        <w:t>1.1.建设内容：上海市儿童医院重症医学ICU数字孪生应用平台项目监理服务</w:t>
      </w:r>
    </w:p>
    <w:p>
      <w:pPr>
        <w:spacing w:line="360" w:lineRule="auto"/>
        <w:jc w:val="left"/>
        <w:rPr>
          <w:rFonts w:hint="eastAsia" w:ascii="宋体" w:hAnsi="宋体" w:cs="宋体"/>
          <w:color w:val="000000"/>
          <w:sz w:val="24"/>
        </w:rPr>
      </w:pPr>
      <w:r>
        <w:rPr>
          <w:rFonts w:hint="eastAsia" w:ascii="宋体" w:hAnsi="宋体" w:cs="宋体"/>
          <w:color w:val="000000"/>
          <w:sz w:val="24"/>
        </w:rPr>
        <w:t>1.2.监理费预算：17.88万元（超过预算的投标将被否决）</w:t>
      </w:r>
    </w:p>
    <w:p>
      <w:pPr>
        <w:spacing w:line="360" w:lineRule="auto"/>
        <w:jc w:val="left"/>
        <w:rPr>
          <w:rFonts w:hint="eastAsia" w:ascii="宋体" w:hAnsi="宋体" w:cs="宋体"/>
          <w:b/>
          <w:bCs/>
          <w:color w:val="000000"/>
          <w:sz w:val="24"/>
        </w:rPr>
      </w:pPr>
      <w:r>
        <w:rPr>
          <w:rFonts w:hint="eastAsia" w:ascii="宋体" w:hAnsi="宋体" w:cs="宋体"/>
          <w:b/>
          <w:bCs/>
          <w:color w:val="000000"/>
          <w:sz w:val="24"/>
        </w:rPr>
        <w:t>2.监理工作范围</w:t>
      </w:r>
    </w:p>
    <w:p>
      <w:pPr>
        <w:spacing w:line="360" w:lineRule="auto"/>
        <w:jc w:val="left"/>
        <w:rPr>
          <w:rFonts w:hint="eastAsia" w:ascii="宋体" w:hAnsi="宋体" w:cs="宋体"/>
          <w:color w:val="000000"/>
          <w:sz w:val="24"/>
        </w:rPr>
      </w:pPr>
      <w:r>
        <w:rPr>
          <w:rFonts w:hint="eastAsia" w:ascii="宋体" w:hAnsi="宋体" w:cs="宋体"/>
          <w:color w:val="000000"/>
          <w:sz w:val="24"/>
        </w:rPr>
        <w:t>2.1.监理工作的内容主要是项目建设内容的监理，在项目建设过程中，提供的质量控制、进度控制、成本控制、变更控制、安全管理、合同管理、文档管理和项目协调等全过程、全方位的监理服务。</w:t>
      </w:r>
    </w:p>
    <w:p>
      <w:pPr>
        <w:spacing w:line="360" w:lineRule="auto"/>
        <w:jc w:val="left"/>
        <w:rPr>
          <w:rFonts w:hint="eastAsia" w:ascii="宋体" w:hAnsi="宋体" w:cs="宋体"/>
          <w:color w:val="000000"/>
          <w:sz w:val="24"/>
        </w:rPr>
      </w:pPr>
      <w:r>
        <w:rPr>
          <w:rFonts w:hint="eastAsia" w:ascii="宋体" w:hAnsi="宋体" w:cs="宋体"/>
          <w:color w:val="000000"/>
          <w:sz w:val="24"/>
        </w:rPr>
        <w:t>2.2.监理服务范围</w:t>
      </w:r>
    </w:p>
    <w:p>
      <w:pPr>
        <w:spacing w:line="360" w:lineRule="auto"/>
        <w:jc w:val="left"/>
        <w:rPr>
          <w:rFonts w:hint="eastAsia" w:ascii="宋体" w:hAnsi="宋体" w:cs="宋体"/>
          <w:color w:val="000000"/>
          <w:sz w:val="24"/>
        </w:rPr>
      </w:pPr>
      <w:r>
        <w:rPr>
          <w:rFonts w:hint="eastAsia" w:ascii="宋体" w:hAnsi="宋体" w:cs="宋体"/>
          <w:color w:val="000000"/>
          <w:sz w:val="24"/>
        </w:rPr>
        <w:t>2.2.1.在系统设计阶段的监理工作内容：合同签订、系统方案设计、深化设计阶段提供监理服务。</w:t>
      </w:r>
    </w:p>
    <w:p>
      <w:pPr>
        <w:spacing w:line="360" w:lineRule="auto"/>
        <w:jc w:val="left"/>
        <w:rPr>
          <w:rFonts w:hint="eastAsia" w:ascii="宋体" w:hAnsi="宋体" w:cs="宋体"/>
          <w:color w:val="000000"/>
          <w:sz w:val="24"/>
        </w:rPr>
      </w:pPr>
      <w:r>
        <w:rPr>
          <w:rFonts w:hint="eastAsia" w:ascii="宋体" w:hAnsi="宋体" w:cs="宋体"/>
          <w:color w:val="000000"/>
          <w:sz w:val="24"/>
        </w:rPr>
        <w:t>2.2.2.在实施阶段的监理工作内容：系统开发与系统集成过程、系统实施、文档保管与保存、系统实施、试运行阶段、系统验收上线提供监理服务。如文档整理要求、监理意见、监理通知单、变更确认等相应的监理文档。</w:t>
      </w:r>
    </w:p>
    <w:p>
      <w:pPr>
        <w:spacing w:line="360" w:lineRule="auto"/>
        <w:jc w:val="left"/>
        <w:rPr>
          <w:rFonts w:hint="eastAsia" w:ascii="宋体" w:hAnsi="宋体" w:cs="宋体"/>
          <w:color w:val="000000"/>
          <w:sz w:val="24"/>
        </w:rPr>
      </w:pPr>
      <w:r>
        <w:rPr>
          <w:rFonts w:hint="eastAsia" w:ascii="宋体" w:hAnsi="宋体" w:cs="宋体"/>
          <w:color w:val="000000"/>
          <w:sz w:val="24"/>
        </w:rPr>
        <w:t>2.3.监理工作目标</w:t>
      </w:r>
    </w:p>
    <w:p>
      <w:pPr>
        <w:spacing w:line="360" w:lineRule="auto"/>
        <w:jc w:val="left"/>
        <w:rPr>
          <w:rFonts w:hint="eastAsia" w:ascii="宋体" w:hAnsi="宋体" w:cs="宋体"/>
          <w:color w:val="000000"/>
          <w:sz w:val="24"/>
        </w:rPr>
      </w:pPr>
      <w:r>
        <w:rPr>
          <w:rFonts w:hint="eastAsia" w:ascii="宋体" w:hAnsi="宋体" w:cs="宋体"/>
          <w:color w:val="000000"/>
          <w:sz w:val="24"/>
        </w:rPr>
        <w:t>2.3.1.质量控制目标：信息化项目质量满足国家、上海市的工程验收质量标准，项目终验一次通过的合格率达到100％。</w:t>
      </w:r>
    </w:p>
    <w:p>
      <w:pPr>
        <w:spacing w:line="360" w:lineRule="auto"/>
        <w:jc w:val="left"/>
        <w:rPr>
          <w:rFonts w:hint="eastAsia" w:ascii="宋体" w:hAnsi="宋体" w:cs="宋体"/>
          <w:color w:val="000000"/>
          <w:sz w:val="24"/>
        </w:rPr>
      </w:pPr>
      <w:r>
        <w:rPr>
          <w:rFonts w:hint="eastAsia" w:ascii="宋体" w:hAnsi="宋体" w:cs="宋体"/>
          <w:color w:val="000000"/>
          <w:sz w:val="24"/>
        </w:rPr>
        <w:t>2.3.2.进度控制目标：信息化项目的进度按合同规定期限完成并完成终验。</w:t>
      </w:r>
    </w:p>
    <w:p>
      <w:pPr>
        <w:spacing w:line="360" w:lineRule="auto"/>
        <w:jc w:val="left"/>
        <w:rPr>
          <w:rFonts w:hint="eastAsia" w:ascii="宋体" w:hAnsi="宋体" w:cs="宋体"/>
          <w:color w:val="000000"/>
          <w:sz w:val="24"/>
        </w:rPr>
      </w:pPr>
      <w:r>
        <w:rPr>
          <w:rFonts w:hint="eastAsia" w:ascii="宋体" w:hAnsi="宋体" w:cs="宋体"/>
          <w:color w:val="000000"/>
          <w:sz w:val="24"/>
        </w:rPr>
        <w:t>2.3.3.成本控制目标：合同签订前审核工程量清单（如有需要），完工后核对工程量清单。</w:t>
      </w:r>
    </w:p>
    <w:p>
      <w:pPr>
        <w:spacing w:line="360" w:lineRule="auto"/>
        <w:jc w:val="left"/>
        <w:rPr>
          <w:rFonts w:hint="eastAsia" w:ascii="宋体" w:hAnsi="宋体" w:cs="宋体"/>
          <w:color w:val="000000"/>
          <w:sz w:val="24"/>
        </w:rPr>
      </w:pPr>
      <w:r>
        <w:rPr>
          <w:rFonts w:hint="eastAsia" w:ascii="宋体" w:hAnsi="宋体" w:cs="宋体"/>
          <w:color w:val="000000"/>
          <w:sz w:val="24"/>
        </w:rPr>
        <w:t>2.3.4.变更控制目标：对变更对合同签订后，需要进行变更的内容进行审查、记录，提供监理意见，同时报业主单位。变更执行后，对变更的工程量进行复查，做好对工程量进行签认。</w:t>
      </w:r>
    </w:p>
    <w:p>
      <w:pPr>
        <w:spacing w:line="360" w:lineRule="auto"/>
        <w:jc w:val="left"/>
        <w:rPr>
          <w:rFonts w:hint="eastAsia" w:ascii="宋体" w:hAnsi="宋体" w:cs="宋体"/>
          <w:color w:val="000000"/>
          <w:sz w:val="24"/>
        </w:rPr>
      </w:pPr>
      <w:r>
        <w:rPr>
          <w:rFonts w:hint="eastAsia" w:ascii="宋体" w:hAnsi="宋体" w:cs="宋体"/>
          <w:color w:val="000000"/>
          <w:sz w:val="24"/>
        </w:rPr>
        <w:t>2.3.5.安全文明管理目标：确保工程无重大安全事故，符合《建设工程安全生产管理条例》（国务院令第393号）以及《关于实施建设工程安全监理的指导意见》（沪建建管第170号文）等的相关要求。</w:t>
      </w:r>
    </w:p>
    <w:p>
      <w:pPr>
        <w:spacing w:line="360" w:lineRule="auto"/>
        <w:jc w:val="left"/>
        <w:rPr>
          <w:rFonts w:hint="eastAsia" w:ascii="宋体" w:hAnsi="宋体" w:cs="宋体"/>
          <w:color w:val="000000"/>
          <w:sz w:val="24"/>
        </w:rPr>
      </w:pPr>
      <w:r>
        <w:rPr>
          <w:rFonts w:hint="eastAsia" w:ascii="宋体" w:hAnsi="宋体" w:cs="宋体"/>
          <w:color w:val="000000"/>
          <w:sz w:val="24"/>
        </w:rPr>
        <w:t>2.3.6.合同管理目标：完成项目的合同跟踪与管理，同时协助业主单位处理相关索赔事宜。</w:t>
      </w:r>
    </w:p>
    <w:p>
      <w:pPr>
        <w:spacing w:line="360" w:lineRule="auto"/>
        <w:jc w:val="left"/>
        <w:rPr>
          <w:rFonts w:hint="eastAsia" w:ascii="宋体" w:hAnsi="宋体" w:cs="宋体"/>
          <w:color w:val="000000"/>
          <w:sz w:val="24"/>
        </w:rPr>
      </w:pPr>
      <w:r>
        <w:rPr>
          <w:rFonts w:hint="eastAsia" w:ascii="宋体" w:hAnsi="宋体" w:cs="宋体"/>
          <w:color w:val="000000"/>
          <w:sz w:val="24"/>
        </w:rPr>
        <w:t>2.3.7.信息管理目标：提供齐全的各类项目管理报表和签单模板，督促施工单位整理好工程技术资料归档，做好项目建设做好数据记录与保存，结合业主单位信息化实际情况，提供历史资料和数据追溯、审查的保管和查阅工具。</w:t>
      </w:r>
    </w:p>
    <w:p>
      <w:pPr>
        <w:spacing w:line="360" w:lineRule="auto"/>
        <w:jc w:val="left"/>
        <w:rPr>
          <w:rFonts w:hint="eastAsia" w:ascii="宋体" w:hAnsi="宋体" w:cs="宋体"/>
          <w:color w:val="000000"/>
          <w:sz w:val="24"/>
        </w:rPr>
      </w:pPr>
      <w:r>
        <w:rPr>
          <w:rFonts w:hint="eastAsia" w:ascii="宋体" w:hAnsi="宋体" w:cs="宋体"/>
          <w:color w:val="000000"/>
          <w:sz w:val="24"/>
        </w:rPr>
        <w:t>2.4.监理成果</w:t>
      </w:r>
    </w:p>
    <w:p>
      <w:pPr>
        <w:spacing w:line="360" w:lineRule="auto"/>
        <w:jc w:val="left"/>
        <w:rPr>
          <w:rFonts w:hint="eastAsia" w:ascii="宋体" w:hAnsi="宋体" w:cs="宋体"/>
          <w:color w:val="000000"/>
          <w:sz w:val="24"/>
        </w:rPr>
      </w:pPr>
      <w:r>
        <w:rPr>
          <w:rFonts w:hint="eastAsia" w:ascii="宋体" w:hAnsi="宋体" w:cs="宋体"/>
          <w:color w:val="000000"/>
          <w:sz w:val="24"/>
        </w:rPr>
        <w:t>2.4.1.投标人需要明确告知招标人，监理单位中标后，能够给招标人或业主相关单位提供何种监理成果，包括文档，协调的成果等。使得招标人对监理的效果有直观理解并能够接受。</w:t>
      </w:r>
    </w:p>
    <w:p>
      <w:pPr>
        <w:spacing w:line="360" w:lineRule="auto"/>
        <w:jc w:val="left"/>
        <w:rPr>
          <w:rFonts w:hint="eastAsia" w:ascii="宋体" w:hAnsi="宋体" w:cs="宋体"/>
          <w:b/>
          <w:bCs/>
          <w:color w:val="000000"/>
          <w:sz w:val="24"/>
        </w:rPr>
      </w:pPr>
      <w:r>
        <w:rPr>
          <w:rFonts w:hint="eastAsia" w:ascii="宋体" w:hAnsi="宋体" w:cs="宋体"/>
          <w:b/>
          <w:bCs/>
          <w:color w:val="000000"/>
          <w:sz w:val="24"/>
        </w:rPr>
        <w:t>3.监理服务内容</w:t>
      </w:r>
    </w:p>
    <w:p>
      <w:pPr>
        <w:spacing w:line="360" w:lineRule="auto"/>
        <w:jc w:val="left"/>
        <w:rPr>
          <w:rFonts w:hint="eastAsia" w:ascii="宋体" w:hAnsi="宋体" w:cs="宋体"/>
          <w:color w:val="000000"/>
          <w:sz w:val="24"/>
        </w:rPr>
      </w:pPr>
      <w:r>
        <w:rPr>
          <w:rFonts w:hint="eastAsia" w:ascii="宋体" w:hAnsi="宋体" w:cs="宋体"/>
          <w:color w:val="000000"/>
          <w:sz w:val="24"/>
        </w:rPr>
        <w:t>3.1.质量控制：监理单位应依据与信息化项目建设相关的法律、法规和标准，对质量进行控制。具体要求如下：</w:t>
      </w:r>
    </w:p>
    <w:p>
      <w:pPr>
        <w:spacing w:line="360" w:lineRule="auto"/>
        <w:jc w:val="left"/>
        <w:rPr>
          <w:rFonts w:hint="eastAsia" w:ascii="宋体" w:hAnsi="宋体" w:cs="宋体"/>
          <w:color w:val="000000"/>
          <w:sz w:val="24"/>
        </w:rPr>
      </w:pPr>
      <w:r>
        <w:rPr>
          <w:rFonts w:hint="eastAsia" w:ascii="宋体" w:hAnsi="宋体" w:cs="宋体"/>
          <w:color w:val="000000"/>
          <w:sz w:val="24"/>
        </w:rPr>
        <w:t>3.1.1.依据招标文件、投标文件、合同制定建设项目的技术规范等文件，审核承建单位的需求说明书、设计说明书、工程实施方案、质量管理计划等；</w:t>
      </w:r>
    </w:p>
    <w:p>
      <w:pPr>
        <w:spacing w:line="360" w:lineRule="auto"/>
        <w:jc w:val="left"/>
        <w:rPr>
          <w:rFonts w:hint="eastAsia" w:ascii="宋体" w:hAnsi="宋体" w:cs="宋体"/>
          <w:color w:val="000000"/>
          <w:sz w:val="24"/>
        </w:rPr>
      </w:pPr>
      <w:r>
        <w:rPr>
          <w:rFonts w:hint="eastAsia" w:ascii="宋体" w:hAnsi="宋体" w:cs="宋体"/>
          <w:color w:val="000000"/>
          <w:sz w:val="24"/>
        </w:rPr>
        <w:t>3.1.2.根据国家规范、标准，检查承建单位的项目实施状况、人员与实施方案的一致性；</w:t>
      </w:r>
    </w:p>
    <w:p>
      <w:pPr>
        <w:spacing w:line="360" w:lineRule="auto"/>
        <w:jc w:val="left"/>
        <w:rPr>
          <w:rFonts w:hint="eastAsia" w:ascii="宋体" w:hAnsi="宋体" w:cs="宋体"/>
          <w:color w:val="000000"/>
          <w:sz w:val="24"/>
        </w:rPr>
      </w:pPr>
      <w:r>
        <w:rPr>
          <w:rFonts w:hint="eastAsia" w:ascii="宋体" w:hAnsi="宋体" w:cs="宋体"/>
          <w:color w:val="000000"/>
          <w:sz w:val="24"/>
        </w:rPr>
        <w:t>3.1.3.制定包括验收标准，验收方法和质量控制措施在内的详细监理控制方案；</w:t>
      </w:r>
    </w:p>
    <w:p>
      <w:pPr>
        <w:spacing w:line="360" w:lineRule="auto"/>
        <w:jc w:val="left"/>
        <w:rPr>
          <w:rFonts w:hint="eastAsia" w:ascii="宋体" w:hAnsi="宋体" w:cs="宋体"/>
          <w:color w:val="000000"/>
          <w:sz w:val="24"/>
        </w:rPr>
      </w:pPr>
      <w:r>
        <w:rPr>
          <w:rFonts w:hint="eastAsia" w:ascii="宋体" w:hAnsi="宋体" w:cs="宋体"/>
          <w:color w:val="000000"/>
          <w:sz w:val="24"/>
        </w:rPr>
        <w:t>3.1.4.通过旁站、抽检等进行事前预防、事中控制，控制项目工程质量。</w:t>
      </w:r>
    </w:p>
    <w:p>
      <w:pPr>
        <w:spacing w:line="360" w:lineRule="auto"/>
        <w:jc w:val="left"/>
        <w:rPr>
          <w:rFonts w:hint="eastAsia" w:ascii="宋体" w:hAnsi="宋体" w:cs="宋体"/>
          <w:color w:val="000000"/>
          <w:sz w:val="24"/>
        </w:rPr>
      </w:pPr>
      <w:r>
        <w:rPr>
          <w:rFonts w:hint="eastAsia" w:ascii="宋体" w:hAnsi="宋体" w:cs="宋体"/>
          <w:color w:val="000000"/>
          <w:sz w:val="24"/>
        </w:rPr>
        <w:t>3.1.5.发现重大质量隐患或出现质量事故时，监理单位应要求承建单位立即采取措施，尽可能控制事故影响范围，签发停工令，并报告业主。</w:t>
      </w:r>
    </w:p>
    <w:p>
      <w:pPr>
        <w:spacing w:line="360" w:lineRule="auto"/>
        <w:jc w:val="left"/>
        <w:rPr>
          <w:rFonts w:hint="eastAsia" w:ascii="宋体" w:hAnsi="宋体" w:cs="宋体"/>
          <w:color w:val="000000"/>
          <w:sz w:val="24"/>
        </w:rPr>
      </w:pPr>
      <w:r>
        <w:rPr>
          <w:rFonts w:hint="eastAsia" w:ascii="宋体" w:hAnsi="宋体" w:cs="宋体"/>
          <w:color w:val="000000"/>
          <w:sz w:val="24"/>
        </w:rPr>
        <w:t>3.1.6.当项目建设出现质量问题或严重偏离计划时，监理单位应及时向业主报告，组织质量事故的原因调查、问题分析、问题评估、事故处理，并签发监理通知单，责令承建单位整改，并跟踪整改情况。</w:t>
      </w:r>
    </w:p>
    <w:p>
      <w:pPr>
        <w:spacing w:line="360" w:lineRule="auto"/>
        <w:jc w:val="left"/>
        <w:rPr>
          <w:rFonts w:hint="eastAsia" w:ascii="宋体" w:hAnsi="宋体" w:cs="宋体"/>
          <w:color w:val="000000"/>
          <w:sz w:val="24"/>
        </w:rPr>
      </w:pPr>
      <w:r>
        <w:rPr>
          <w:rFonts w:hint="eastAsia" w:ascii="宋体" w:hAnsi="宋体" w:cs="宋体"/>
          <w:color w:val="000000"/>
          <w:sz w:val="24"/>
        </w:rPr>
        <w:t>3.1.7.对承建单位提供的服务进行验收，记录验收结果。</w:t>
      </w:r>
    </w:p>
    <w:p>
      <w:pPr>
        <w:spacing w:line="360" w:lineRule="auto"/>
        <w:jc w:val="left"/>
        <w:rPr>
          <w:rFonts w:hint="eastAsia" w:ascii="宋体" w:hAnsi="宋体" w:cs="宋体"/>
          <w:color w:val="000000"/>
          <w:sz w:val="24"/>
        </w:rPr>
      </w:pPr>
      <w:r>
        <w:rPr>
          <w:rFonts w:hint="eastAsia" w:ascii="宋体" w:hAnsi="宋体" w:cs="宋体"/>
          <w:color w:val="000000"/>
          <w:sz w:val="24"/>
        </w:rPr>
        <w:t>3.2.进度控制：监理单位对整个项目的进展情况的进行监督。督促承建单位按预定的计划有步骤地按时完成整个项目。具体要求如下：</w:t>
      </w:r>
    </w:p>
    <w:p>
      <w:pPr>
        <w:spacing w:line="360" w:lineRule="auto"/>
        <w:jc w:val="left"/>
        <w:rPr>
          <w:rFonts w:hint="eastAsia" w:ascii="宋体" w:hAnsi="宋体" w:cs="宋体"/>
          <w:color w:val="000000"/>
          <w:sz w:val="24"/>
        </w:rPr>
      </w:pPr>
      <w:r>
        <w:rPr>
          <w:rFonts w:hint="eastAsia" w:ascii="宋体" w:hAnsi="宋体" w:cs="宋体"/>
          <w:color w:val="000000"/>
          <w:sz w:val="24"/>
        </w:rPr>
        <w:t>3.2.1.督促承建单位制定进度计划；审查承建单位进度计划的合理性，对工程进度安排和进度控制措施提出监理意见；</w:t>
      </w:r>
    </w:p>
    <w:p>
      <w:pPr>
        <w:spacing w:line="360" w:lineRule="auto"/>
        <w:jc w:val="left"/>
        <w:rPr>
          <w:rFonts w:hint="eastAsia" w:ascii="宋体" w:hAnsi="宋体" w:cs="宋体"/>
          <w:color w:val="000000"/>
          <w:sz w:val="24"/>
        </w:rPr>
      </w:pPr>
      <w:r>
        <w:rPr>
          <w:rFonts w:hint="eastAsia" w:ascii="宋体" w:hAnsi="宋体" w:cs="宋体"/>
          <w:color w:val="000000"/>
          <w:sz w:val="24"/>
        </w:rPr>
        <w:t>3.2.2.协助业主单位、协调承建单位确定项目建设的顺序，控制项目施工进度；</w:t>
      </w:r>
    </w:p>
    <w:p>
      <w:pPr>
        <w:spacing w:line="360" w:lineRule="auto"/>
        <w:jc w:val="left"/>
        <w:rPr>
          <w:rFonts w:hint="eastAsia" w:ascii="宋体" w:hAnsi="宋体" w:cs="宋体"/>
          <w:color w:val="000000"/>
          <w:sz w:val="24"/>
        </w:rPr>
      </w:pPr>
      <w:r>
        <w:rPr>
          <w:rFonts w:hint="eastAsia" w:ascii="宋体" w:hAnsi="宋体" w:cs="宋体"/>
          <w:color w:val="000000"/>
          <w:sz w:val="24"/>
        </w:rPr>
        <w:t>3.2.3.协调业主单位确认项目计划目标，建立进度计划基线，并在项目各阶段对照进度计划基线检查、记录实际进展情况，提供报告和监理意见；</w:t>
      </w:r>
    </w:p>
    <w:p>
      <w:pPr>
        <w:spacing w:line="360" w:lineRule="auto"/>
        <w:jc w:val="left"/>
        <w:rPr>
          <w:rFonts w:hint="eastAsia" w:ascii="宋体" w:hAnsi="宋体" w:cs="宋体"/>
          <w:color w:val="000000"/>
          <w:sz w:val="24"/>
        </w:rPr>
      </w:pPr>
      <w:r>
        <w:rPr>
          <w:rFonts w:hint="eastAsia" w:ascii="宋体" w:hAnsi="宋体" w:cs="宋体"/>
          <w:color w:val="000000"/>
          <w:sz w:val="24"/>
        </w:rPr>
        <w:t>3.2.4.发现项目建设进程未能按计划进行时，要求承建单位调整或修改计划，采取必要措施加快施工进度，以使实际施工进度符合合同的要求；</w:t>
      </w:r>
    </w:p>
    <w:p>
      <w:pPr>
        <w:spacing w:line="360" w:lineRule="auto"/>
        <w:jc w:val="left"/>
        <w:rPr>
          <w:rFonts w:hint="eastAsia" w:ascii="宋体" w:hAnsi="宋体" w:cs="宋体"/>
          <w:color w:val="000000"/>
          <w:sz w:val="24"/>
        </w:rPr>
      </w:pPr>
      <w:r>
        <w:rPr>
          <w:rFonts w:hint="eastAsia" w:ascii="宋体" w:hAnsi="宋体" w:cs="宋体"/>
          <w:color w:val="000000"/>
          <w:sz w:val="24"/>
        </w:rPr>
        <w:t>3.2.5.当项目建设进度拖后可能导致合同工期严重延误时，有责任作详细报告分析原因和提出对策，供业主采取措施或做出决定。</w:t>
      </w:r>
    </w:p>
    <w:p>
      <w:pPr>
        <w:spacing w:line="360" w:lineRule="auto"/>
        <w:jc w:val="left"/>
        <w:rPr>
          <w:rFonts w:hint="eastAsia" w:ascii="宋体" w:hAnsi="宋体" w:cs="宋体"/>
          <w:color w:val="000000"/>
          <w:sz w:val="24"/>
        </w:rPr>
      </w:pPr>
      <w:r>
        <w:rPr>
          <w:rFonts w:hint="eastAsia" w:ascii="宋体" w:hAnsi="宋体" w:cs="宋体"/>
          <w:color w:val="000000"/>
          <w:sz w:val="24"/>
        </w:rPr>
        <w:t>3.3.成本控制：在项目实施过程中，严格审查和控制项目成本；在项目中若出现重大变更，必须严格评审和确认，核定变更费用，确保资金的合理使用。在项目各阶段，对照项目合同，审核承建单位工作量完成情况，审批承建单位的工程款支付申请。及时合理处理索赔事宜，协助业主单位进行工程决算和审计。</w:t>
      </w:r>
    </w:p>
    <w:p>
      <w:pPr>
        <w:spacing w:line="360" w:lineRule="auto"/>
        <w:jc w:val="left"/>
        <w:rPr>
          <w:rFonts w:hint="eastAsia" w:ascii="宋体" w:hAnsi="宋体" w:cs="宋体"/>
          <w:color w:val="000000"/>
          <w:sz w:val="24"/>
        </w:rPr>
      </w:pPr>
      <w:r>
        <w:rPr>
          <w:rFonts w:hint="eastAsia" w:ascii="宋体" w:hAnsi="宋体" w:cs="宋体"/>
          <w:color w:val="000000"/>
          <w:sz w:val="24"/>
        </w:rPr>
        <w:t>3.4.信息安全控制：信息安全控制作为一项基本监理活动贯穿于信息系统工程建设的全过程。监理单位在项目过程中，协助业主规范信息安全管理制度，并在项目建设过程中提供专业的信息安全技术建议，保证信息系统的正常运行。</w:t>
      </w:r>
    </w:p>
    <w:p>
      <w:pPr>
        <w:spacing w:line="360" w:lineRule="auto"/>
        <w:jc w:val="left"/>
        <w:rPr>
          <w:rFonts w:hint="eastAsia" w:ascii="宋体" w:hAnsi="宋体" w:cs="宋体"/>
          <w:color w:val="000000"/>
          <w:sz w:val="24"/>
        </w:rPr>
      </w:pPr>
      <w:r>
        <w:rPr>
          <w:rFonts w:hint="eastAsia" w:ascii="宋体" w:hAnsi="宋体" w:cs="宋体"/>
          <w:color w:val="000000"/>
          <w:sz w:val="24"/>
        </w:rPr>
        <w:t>3.5.知识产权保护控制：在项目监理的整个过程中，对项目承担单位和承建单位有关方案、软件源代码及有关技术秘密等涉及知识产权的内容进行检查、监督和保护。</w:t>
      </w:r>
    </w:p>
    <w:p>
      <w:pPr>
        <w:spacing w:line="360" w:lineRule="auto"/>
        <w:jc w:val="left"/>
        <w:rPr>
          <w:rFonts w:hint="eastAsia" w:ascii="宋体" w:hAnsi="宋体" w:cs="宋体"/>
          <w:color w:val="000000"/>
          <w:sz w:val="24"/>
        </w:rPr>
      </w:pPr>
      <w:r>
        <w:rPr>
          <w:rFonts w:hint="eastAsia" w:ascii="宋体" w:hAnsi="宋体" w:cs="宋体"/>
          <w:color w:val="000000"/>
          <w:sz w:val="24"/>
        </w:rPr>
        <w:t>3.6.变更管理：协助业主建立项目变更管理制度。在项目建设过程中，及时处理工程的变更申请，严格项目变更管理流程，审核变更的合理性，并对变更引起的质量、进度投资变化等提出意见，形成书面文件，编入竣工文档备案。</w:t>
      </w:r>
    </w:p>
    <w:p>
      <w:pPr>
        <w:spacing w:line="360" w:lineRule="auto"/>
        <w:jc w:val="left"/>
        <w:rPr>
          <w:rFonts w:hint="eastAsia" w:ascii="宋体" w:hAnsi="宋体" w:cs="宋体"/>
          <w:color w:val="000000"/>
          <w:sz w:val="24"/>
        </w:rPr>
      </w:pPr>
      <w:r>
        <w:rPr>
          <w:rFonts w:hint="eastAsia" w:ascii="宋体" w:hAnsi="宋体" w:cs="宋体"/>
          <w:color w:val="000000"/>
          <w:sz w:val="24"/>
        </w:rPr>
        <w:t>3.7.合同管理：监理单位应本着客观、公正、合理的原则，监督各方履行合同的行为，确保合同正常履行，维护合同各方的正当权益，确保本项目建设目标的实现。</w:t>
      </w:r>
    </w:p>
    <w:p>
      <w:pPr>
        <w:spacing w:line="360" w:lineRule="auto"/>
        <w:jc w:val="left"/>
        <w:rPr>
          <w:rFonts w:hint="eastAsia" w:ascii="宋体" w:hAnsi="宋体" w:cs="宋体"/>
          <w:color w:val="000000"/>
          <w:sz w:val="24"/>
        </w:rPr>
      </w:pPr>
      <w:r>
        <w:rPr>
          <w:rFonts w:hint="eastAsia" w:ascii="宋体" w:hAnsi="宋体" w:cs="宋体"/>
          <w:color w:val="000000"/>
          <w:sz w:val="24"/>
        </w:rPr>
        <w:t>3.8.项目协调与管理：监理单位应协助业主单位、承建单位建立项目的管理协调机制，配合业主开展项目管理工作。监理单位就项目中存在或出现的问题向业主单位、承建单位、设计单位提出独立、公正、公平的意见建议或解决方案；组织协调业主单位和承建单位对工程过程中的各项工作及变更、问题达成一致。</w:t>
      </w:r>
    </w:p>
    <w:p>
      <w:pPr>
        <w:spacing w:line="360" w:lineRule="auto"/>
        <w:jc w:val="left"/>
        <w:rPr>
          <w:rFonts w:hint="eastAsia" w:ascii="宋体" w:hAnsi="宋体" w:cs="宋体"/>
          <w:color w:val="000000"/>
          <w:sz w:val="24"/>
        </w:rPr>
      </w:pPr>
      <w:r>
        <w:rPr>
          <w:rFonts w:hint="eastAsia" w:ascii="宋体" w:hAnsi="宋体" w:cs="宋体"/>
          <w:color w:val="000000"/>
          <w:sz w:val="24"/>
        </w:rPr>
        <w:t>3.9.检验与检测：在项目过程中，监理单位应对承建单位的自检自测方案进行审核，对自检自测过程进行见证。</w:t>
      </w:r>
    </w:p>
    <w:p>
      <w:pPr>
        <w:spacing w:line="360" w:lineRule="auto"/>
        <w:jc w:val="left"/>
        <w:rPr>
          <w:rFonts w:hint="eastAsia" w:ascii="宋体" w:hAnsi="宋体" w:cs="宋体"/>
          <w:color w:val="000000"/>
          <w:sz w:val="24"/>
        </w:rPr>
      </w:pPr>
      <w:r>
        <w:rPr>
          <w:rFonts w:hint="eastAsia" w:ascii="宋体" w:hAnsi="宋体" w:cs="宋体"/>
          <w:color w:val="000000"/>
          <w:sz w:val="24"/>
        </w:rPr>
        <w:t>3.10.项目验收：监理单位应协助业主的项目验收工作。在试运行阶段和竣工验收阶段，通过对承建单位有关初验、试运行方案的审核、条件的确定、测试手段与设备的检查、资料审核、实施的监督等手段以保证系统的验收顺利。具体内容如下：</w:t>
      </w:r>
    </w:p>
    <w:p>
      <w:pPr>
        <w:spacing w:line="360" w:lineRule="auto"/>
        <w:jc w:val="left"/>
        <w:rPr>
          <w:rFonts w:hint="eastAsia" w:ascii="宋体" w:hAnsi="宋体" w:cs="宋体"/>
          <w:color w:val="000000"/>
          <w:sz w:val="24"/>
        </w:rPr>
      </w:pPr>
      <w:r>
        <w:rPr>
          <w:rFonts w:hint="eastAsia" w:ascii="宋体" w:hAnsi="宋体" w:cs="宋体"/>
          <w:color w:val="000000"/>
          <w:sz w:val="24"/>
        </w:rPr>
        <w:t>3.10.1.审核承建单位提交的验收计划及方案；</w:t>
      </w:r>
    </w:p>
    <w:p>
      <w:pPr>
        <w:spacing w:line="360" w:lineRule="auto"/>
        <w:jc w:val="left"/>
        <w:rPr>
          <w:rFonts w:hint="eastAsia" w:ascii="宋体" w:hAnsi="宋体" w:cs="宋体"/>
          <w:color w:val="000000"/>
          <w:sz w:val="24"/>
        </w:rPr>
      </w:pPr>
      <w:r>
        <w:rPr>
          <w:rFonts w:hint="eastAsia" w:ascii="宋体" w:hAnsi="宋体" w:cs="宋体"/>
          <w:color w:val="000000"/>
          <w:sz w:val="24"/>
        </w:rPr>
        <w:t>3.10.2.协助业主单位和承建单位在包括验收目标、各方责任、验收内容、验收标准、验收方式等内容上达成一致；</w:t>
      </w:r>
    </w:p>
    <w:p>
      <w:pPr>
        <w:spacing w:line="360" w:lineRule="auto"/>
        <w:jc w:val="left"/>
        <w:rPr>
          <w:rFonts w:hint="eastAsia" w:ascii="宋体" w:hAnsi="宋体" w:cs="宋体"/>
          <w:color w:val="000000"/>
          <w:sz w:val="24"/>
        </w:rPr>
      </w:pPr>
      <w:r>
        <w:rPr>
          <w:rFonts w:hint="eastAsia" w:ascii="宋体" w:hAnsi="宋体" w:cs="宋体"/>
          <w:color w:val="000000"/>
          <w:sz w:val="24"/>
        </w:rPr>
        <w:t>3.10.3.审核、确认项目达到验收条件；</w:t>
      </w:r>
    </w:p>
    <w:p>
      <w:pPr>
        <w:spacing w:line="360" w:lineRule="auto"/>
        <w:jc w:val="left"/>
        <w:rPr>
          <w:rFonts w:hint="eastAsia" w:ascii="宋体" w:hAnsi="宋体" w:cs="宋体"/>
          <w:color w:val="000000"/>
          <w:sz w:val="24"/>
        </w:rPr>
      </w:pPr>
      <w:r>
        <w:rPr>
          <w:rFonts w:hint="eastAsia" w:ascii="宋体" w:hAnsi="宋体" w:cs="宋体"/>
          <w:color w:val="000000"/>
          <w:sz w:val="24"/>
        </w:rPr>
        <w:t>3.10.4.参与组织项目建设质量检查和验收，参与竣工验收和交接。对验收过程中发现的质量问题进行评估，并以监理通知单的方式告知承建单位，确定整改要求和整改后的验收方式。监理单位应与业主单位一起对验收结果进行确认；</w:t>
      </w:r>
    </w:p>
    <w:p>
      <w:pPr>
        <w:spacing w:line="360" w:lineRule="auto"/>
        <w:jc w:val="left"/>
        <w:rPr>
          <w:rFonts w:hint="eastAsia" w:ascii="宋体" w:hAnsi="宋体" w:cs="宋体"/>
          <w:color w:val="000000"/>
          <w:sz w:val="24"/>
        </w:rPr>
      </w:pPr>
      <w:r>
        <w:rPr>
          <w:rFonts w:hint="eastAsia" w:ascii="宋体" w:hAnsi="宋体" w:cs="宋体"/>
          <w:color w:val="000000"/>
          <w:sz w:val="24"/>
        </w:rPr>
        <w:t>3.10.5.跟踪项目在质保期内的运行状况。</w:t>
      </w:r>
    </w:p>
    <w:p>
      <w:pPr>
        <w:spacing w:line="360" w:lineRule="auto"/>
        <w:jc w:val="left"/>
        <w:rPr>
          <w:rFonts w:hint="eastAsia" w:ascii="宋体" w:hAnsi="宋体" w:cs="宋体"/>
          <w:color w:val="000000"/>
          <w:sz w:val="24"/>
        </w:rPr>
      </w:pPr>
      <w:r>
        <w:rPr>
          <w:rFonts w:hint="eastAsia" w:ascii="宋体" w:hAnsi="宋体" w:cs="宋体"/>
          <w:color w:val="000000"/>
          <w:sz w:val="24"/>
        </w:rPr>
        <w:t>3.11.文档管理：监理单位应协助业主确定来往文档种类、格式签发联系人等事宜。建立全面、准确反映项目各阶段状况的图表、文档，收集、管理项目各类文档和资料；督促、检查承建单位及时编制、签署、妥善保存、整理工程文档，完成各阶段设备资料、工程技术资料的整理和归档工作；</w:t>
      </w:r>
    </w:p>
    <w:p>
      <w:pPr>
        <w:spacing w:line="360" w:lineRule="auto"/>
        <w:jc w:val="left"/>
        <w:rPr>
          <w:rFonts w:hint="eastAsia" w:ascii="宋体" w:hAnsi="宋体" w:cs="宋体"/>
          <w:color w:val="000000"/>
          <w:sz w:val="24"/>
        </w:rPr>
      </w:pPr>
      <w:r>
        <w:rPr>
          <w:rFonts w:hint="eastAsia" w:ascii="宋体" w:hAnsi="宋体" w:cs="宋体"/>
          <w:color w:val="000000"/>
          <w:sz w:val="24"/>
        </w:rPr>
        <w:t>3.11.1.招标文件、投标文件；</w:t>
      </w:r>
    </w:p>
    <w:p>
      <w:pPr>
        <w:spacing w:line="360" w:lineRule="auto"/>
        <w:jc w:val="left"/>
        <w:rPr>
          <w:rFonts w:hint="eastAsia" w:ascii="宋体" w:hAnsi="宋体" w:cs="宋体"/>
          <w:color w:val="000000"/>
          <w:sz w:val="24"/>
        </w:rPr>
      </w:pPr>
      <w:r>
        <w:rPr>
          <w:rFonts w:hint="eastAsia" w:ascii="宋体" w:hAnsi="宋体" w:cs="宋体"/>
          <w:color w:val="000000"/>
          <w:sz w:val="24"/>
        </w:rPr>
        <w:t>3.11.2.合同；</w:t>
      </w:r>
    </w:p>
    <w:p>
      <w:pPr>
        <w:spacing w:line="360" w:lineRule="auto"/>
        <w:jc w:val="left"/>
        <w:rPr>
          <w:rFonts w:hint="eastAsia" w:ascii="宋体" w:hAnsi="宋体" w:cs="宋体"/>
          <w:color w:val="000000"/>
          <w:sz w:val="24"/>
        </w:rPr>
      </w:pPr>
      <w:r>
        <w:rPr>
          <w:rFonts w:hint="eastAsia" w:ascii="宋体" w:hAnsi="宋体" w:cs="宋体"/>
          <w:color w:val="000000"/>
          <w:sz w:val="24"/>
        </w:rPr>
        <w:t>3.11.3.需求说明书；</w:t>
      </w:r>
    </w:p>
    <w:p>
      <w:pPr>
        <w:spacing w:line="360" w:lineRule="auto"/>
        <w:jc w:val="left"/>
        <w:rPr>
          <w:rFonts w:hint="eastAsia" w:ascii="宋体" w:hAnsi="宋体" w:cs="宋体"/>
          <w:color w:val="auto"/>
          <w:sz w:val="24"/>
        </w:rPr>
      </w:pPr>
      <w:r>
        <w:rPr>
          <w:rFonts w:hint="eastAsia" w:ascii="宋体" w:hAnsi="宋体" w:cs="宋体"/>
          <w:color w:val="000000"/>
          <w:sz w:val="24"/>
        </w:rPr>
        <w:t>3.11.4.系统设</w:t>
      </w:r>
      <w:r>
        <w:rPr>
          <w:rFonts w:hint="eastAsia" w:ascii="宋体" w:hAnsi="宋体" w:cs="宋体"/>
          <w:color w:val="auto"/>
          <w:sz w:val="24"/>
        </w:rPr>
        <w:t>计方案（至少包括数据库设计、概要设计、详细设计、测试方案）；</w:t>
      </w:r>
    </w:p>
    <w:p>
      <w:pPr>
        <w:spacing w:line="360" w:lineRule="auto"/>
        <w:jc w:val="left"/>
        <w:rPr>
          <w:rFonts w:hint="eastAsia" w:ascii="宋体" w:hAnsi="宋体" w:cs="宋体"/>
          <w:color w:val="auto"/>
          <w:sz w:val="24"/>
        </w:rPr>
      </w:pPr>
      <w:r>
        <w:rPr>
          <w:rFonts w:hint="eastAsia" w:ascii="宋体" w:hAnsi="宋体" w:cs="宋体"/>
          <w:color w:val="auto"/>
          <w:sz w:val="24"/>
        </w:rPr>
        <w:t>3.11.5.实施计划、实施方案、产品及服务验收报告等；</w:t>
      </w:r>
    </w:p>
    <w:p>
      <w:pPr>
        <w:spacing w:line="360" w:lineRule="auto"/>
        <w:jc w:val="left"/>
        <w:rPr>
          <w:rFonts w:hint="eastAsia" w:ascii="宋体" w:hAnsi="宋体" w:cs="宋体"/>
          <w:color w:val="auto"/>
          <w:sz w:val="24"/>
        </w:rPr>
      </w:pPr>
      <w:r>
        <w:rPr>
          <w:rFonts w:hint="eastAsia" w:ascii="宋体" w:hAnsi="宋体" w:cs="宋体"/>
          <w:color w:val="auto"/>
          <w:sz w:val="24"/>
        </w:rPr>
        <w:t>3.11.6.系统测试记录、系统割接或上线方案、系统上线操作记录等；</w:t>
      </w:r>
    </w:p>
    <w:p>
      <w:pPr>
        <w:spacing w:line="360" w:lineRule="auto"/>
        <w:jc w:val="left"/>
        <w:rPr>
          <w:rFonts w:hint="eastAsia" w:ascii="宋体" w:hAnsi="宋体" w:cs="宋体"/>
          <w:color w:val="auto"/>
          <w:sz w:val="24"/>
        </w:rPr>
      </w:pPr>
      <w:r>
        <w:rPr>
          <w:rFonts w:hint="eastAsia" w:ascii="宋体" w:hAnsi="宋体" w:cs="宋体"/>
          <w:color w:val="auto"/>
          <w:sz w:val="24"/>
        </w:rPr>
        <w:t>3.11.7.初验申请、初验报告、终验申请、终验报告、第三方测评记录、测评结论、专家评审结论等；</w:t>
      </w:r>
    </w:p>
    <w:p>
      <w:pPr>
        <w:spacing w:line="360" w:lineRule="auto"/>
        <w:jc w:val="left"/>
        <w:rPr>
          <w:rFonts w:hint="eastAsia" w:ascii="宋体" w:hAnsi="宋体" w:cs="宋体"/>
          <w:color w:val="auto"/>
          <w:sz w:val="24"/>
        </w:rPr>
      </w:pPr>
      <w:r>
        <w:rPr>
          <w:rFonts w:hint="eastAsia" w:ascii="宋体" w:hAnsi="宋体" w:cs="宋体"/>
          <w:color w:val="auto"/>
          <w:sz w:val="24"/>
        </w:rPr>
        <w:t>3.11.8.项目实施阶段所产生的监理文档：至少包括监理规划、开工令、停工令、监理通知、监理例会纪要、监理报告、工作联系单、设备材料验收单、方案报审表、变更申请审批记录。</w:t>
      </w:r>
    </w:p>
    <w:p>
      <w:pPr>
        <w:spacing w:line="360" w:lineRule="auto"/>
        <w:jc w:val="left"/>
        <w:rPr>
          <w:rFonts w:hint="eastAsia" w:ascii="宋体" w:hAnsi="宋体" w:cs="宋体"/>
          <w:color w:val="000000"/>
          <w:sz w:val="24"/>
        </w:rPr>
      </w:pPr>
      <w:r>
        <w:rPr>
          <w:rFonts w:hint="eastAsia" w:ascii="宋体" w:hAnsi="宋体" w:cs="宋体"/>
          <w:color w:val="000000"/>
          <w:sz w:val="24"/>
        </w:rPr>
        <w:t>3.12.监理服务质量：监理单位在服务过程中，应建立服务质量保证制度，明确用户投诉方式和处理渠道。</w:t>
      </w:r>
    </w:p>
    <w:p>
      <w:pPr>
        <w:spacing w:line="360" w:lineRule="auto"/>
        <w:jc w:val="left"/>
        <w:rPr>
          <w:rFonts w:hint="eastAsia" w:ascii="宋体" w:hAnsi="宋体" w:cs="宋体"/>
          <w:b/>
          <w:bCs/>
          <w:color w:val="000000"/>
          <w:sz w:val="24"/>
        </w:rPr>
      </w:pPr>
      <w:r>
        <w:rPr>
          <w:rFonts w:hint="eastAsia" w:ascii="宋体" w:hAnsi="宋体" w:cs="宋体"/>
          <w:b/>
          <w:bCs/>
          <w:color w:val="000000"/>
          <w:sz w:val="24"/>
        </w:rPr>
        <w:t>4.监理机构和人员的要求</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本项目主要建设内容涉及面广，监理机构需专业配套齐全，年龄结构合理，监理组成人员为投标单位的在职监理工程师不少于3人。各专业监理工程师均应持有中华人民共和国计算机技术与软件专业技术资格证书（《信息系统监理师证书》），应具有相应的信息系统工程监理工作经历，包括总监理工程师、系统分析师、软件监理工程师、数据库监理工程师、软件测试监理工程师、云计算技术监理工程师、网络监理工程师、信息安全监理工程师等。</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总监理工程师必须是投标监理单位的长期稳定在职人员（至少提供投标单位为其在2022年度和2023年度各任一月缴纳社保证明）；应具有较强的组织能力和协调能力，能够根据工程的实际情况及时地分析并预见影响工程质量、安全、进度的隐患和问题，并提出切实可行的解决方案和办法；需具备不少于5年的相关总监理工程师工作经验，须熟悉医疗卫生领域信息化建设流程和管理办法，且具有医疗卫生信息化监理建设经验；具有软件质量职业资格证书、系统分析师证书、大数据分析师（高级）证书、获得相关荣誉或奖项的优先考虑，年龄不得超过55岁，需提供相关证明资料。</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监理人员应有良好的职业道德和严谨的工作作风，在监理过程中不得向承建方介绍指定分包商和供应商。派驻现场的监理组人员名单须经招标单位确认后，未经招标单位书面批准不得更换。若自行更换或撤离，则按本招标文件有关条款扣除相应监理费用。</w:t>
      </w:r>
    </w:p>
    <w:p>
      <w:pPr>
        <w:spacing w:line="360" w:lineRule="auto"/>
        <w:jc w:val="left"/>
        <w:rPr>
          <w:rFonts w:hint="eastAsia" w:ascii="宋体" w:hAnsi="宋体" w:cs="宋体"/>
          <w:b/>
          <w:bCs/>
          <w:color w:val="000000"/>
          <w:sz w:val="24"/>
        </w:rPr>
      </w:pPr>
      <w:r>
        <w:rPr>
          <w:rFonts w:hint="eastAsia" w:ascii="宋体" w:hAnsi="宋体" w:cs="宋体"/>
          <w:b/>
          <w:bCs/>
          <w:color w:val="000000"/>
          <w:sz w:val="24"/>
        </w:rPr>
        <w:t>5.监理大纲技术要求</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监理大纲应针对本工程项目的性质、规模、工作内容等具体情况，由投标人编写。监理大纲应对监理的计划、组织、程序、方法等作出表述。</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监理大纲是投标人对本项目实施监理的能力的阐述，其至少包括以下内容：</w:t>
      </w:r>
    </w:p>
    <w:p>
      <w:pPr>
        <w:spacing w:line="360" w:lineRule="auto"/>
        <w:jc w:val="left"/>
        <w:rPr>
          <w:rFonts w:hint="eastAsia" w:ascii="宋体" w:hAnsi="宋体" w:cs="宋体"/>
          <w:color w:val="000000"/>
          <w:sz w:val="24"/>
        </w:rPr>
      </w:pPr>
      <w:r>
        <w:rPr>
          <w:rFonts w:hint="eastAsia" w:ascii="宋体" w:hAnsi="宋体" w:cs="宋体"/>
          <w:color w:val="000000"/>
          <w:sz w:val="24"/>
        </w:rPr>
        <w:t>5.1.监理项目与合同控制目标</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(1)工程项目概况；</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(2)合同控制目标（工程项目投资控制目标、计划工期、质量目标、安全、环保及文明施工控制目标）；</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(3)监理服务范围与工作内容；</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(4)监理服务依据（应列出开展监理工作所依据的法律、法规、规章，国家及部门颁发的有关技术标准，批准的工程建设文件以及有关合同文件、设计文件的名称、文号等）。</w:t>
      </w:r>
    </w:p>
    <w:p>
      <w:pPr>
        <w:spacing w:line="360" w:lineRule="auto"/>
        <w:jc w:val="left"/>
        <w:rPr>
          <w:rFonts w:hint="eastAsia" w:ascii="宋体" w:hAnsi="宋体" w:cs="宋体"/>
          <w:color w:val="000000"/>
          <w:sz w:val="24"/>
        </w:rPr>
      </w:pPr>
      <w:r>
        <w:rPr>
          <w:rFonts w:hint="eastAsia" w:ascii="宋体" w:hAnsi="宋体" w:cs="宋体"/>
          <w:color w:val="000000"/>
          <w:sz w:val="24"/>
        </w:rPr>
        <w:t>5.2.对工程项目的理解与响应</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(1)对本工程项目控制的关键点、难点和重点分析；</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(2)对本工程项目管理的意见和建议同类工程项目监理的经历与经验。</w:t>
      </w:r>
    </w:p>
    <w:p>
      <w:pPr>
        <w:spacing w:line="360" w:lineRule="auto"/>
        <w:jc w:val="left"/>
        <w:rPr>
          <w:rFonts w:hint="eastAsia" w:ascii="宋体" w:hAnsi="宋体" w:cs="宋体"/>
          <w:color w:val="000000"/>
          <w:sz w:val="24"/>
        </w:rPr>
      </w:pPr>
      <w:r>
        <w:rPr>
          <w:rFonts w:hint="eastAsia" w:ascii="宋体" w:hAnsi="宋体" w:cs="宋体"/>
          <w:color w:val="000000"/>
          <w:sz w:val="24"/>
        </w:rPr>
        <w:t>5.3.项目监理机构的组织与管理</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(1)监理机构设置；</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(2)监理岗位设置与岗位职责；</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(3)监理工作机制；</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(4)监理工作制度；</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(5)监理人员配置计划（含主要监理人员）。</w:t>
      </w:r>
    </w:p>
    <w:p>
      <w:pPr>
        <w:spacing w:line="360" w:lineRule="auto"/>
        <w:jc w:val="left"/>
        <w:rPr>
          <w:rFonts w:hint="eastAsia" w:ascii="宋体" w:hAnsi="宋体" w:cs="宋体"/>
          <w:color w:val="000000"/>
          <w:sz w:val="24"/>
        </w:rPr>
      </w:pPr>
      <w:r>
        <w:rPr>
          <w:rFonts w:hint="eastAsia" w:ascii="宋体" w:hAnsi="宋体" w:cs="宋体"/>
          <w:color w:val="000000"/>
          <w:sz w:val="24"/>
        </w:rPr>
        <w:t>5.4.监理工作措施及方案</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(1)进度目标控制的程序、主要工作内容和进度控制措施；</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(2)质量目标控制的程序、主要工作内容和质量控制措施；</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(3)投资目标控制的程序、主要工作内容和投资控制措施；</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(4)安全工作程序、主要内容和施工安全管理措施；</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(5)合同管理、主要工作内容和措施。</w:t>
      </w:r>
    </w:p>
    <w:p>
      <w:pPr>
        <w:spacing w:line="360" w:lineRule="auto"/>
        <w:jc w:val="left"/>
        <w:rPr>
          <w:rFonts w:hint="eastAsia" w:ascii="宋体" w:hAnsi="宋体" w:cs="宋体"/>
          <w:b/>
          <w:bCs/>
          <w:color w:val="000000"/>
          <w:sz w:val="24"/>
        </w:rPr>
      </w:pPr>
      <w:r>
        <w:rPr>
          <w:rFonts w:hint="eastAsia" w:ascii="宋体" w:hAnsi="宋体" w:cs="宋体"/>
          <w:b/>
          <w:bCs/>
          <w:color w:val="000000"/>
          <w:sz w:val="24"/>
        </w:rPr>
        <w:t>6.监理服务准则</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(1)维护国家的荣誉和利益，按照“守法、诚信、公正、科学”的准则执业;</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(2)遵守国家的法律和政府的有关条例、规定和办法等；</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(3)执行有关工程建设的法律、法规、规范、标准和制度，履行监理合同规定的义务和职责；</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(4)坚持科学的态度和实事求是的原则；</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(5)认真履行工程建设监理合同所承诺的义务和承担约定的责任；</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(6)坚持公正的立场，公平地处理有关各方的争议；</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(7)不收受被监理单位的任何礼金；</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(8)不泄漏所监理的工程需保密的事项；</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(9)不泄漏所监理工程各方认为需要保密的事项；</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(10)在坚持按监理合同的规定向项目单位提供技术服务的同时，帮助被监理单位完成其担负的建设任务。</w:t>
      </w:r>
    </w:p>
    <w:p>
      <w:pPr>
        <w:spacing w:line="360" w:lineRule="auto"/>
        <w:jc w:val="left"/>
        <w:rPr>
          <w:rFonts w:hint="eastAsia" w:ascii="宋体" w:hAnsi="宋体" w:cs="宋体"/>
          <w:b/>
          <w:bCs/>
          <w:color w:val="000000"/>
          <w:sz w:val="24"/>
        </w:rPr>
      </w:pPr>
      <w:r>
        <w:rPr>
          <w:rFonts w:hint="eastAsia" w:ascii="宋体" w:hAnsi="宋体" w:cs="宋体"/>
          <w:b/>
          <w:bCs/>
          <w:color w:val="000000"/>
          <w:sz w:val="24"/>
        </w:rPr>
        <w:t>7.其他</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本工程施工监理合同将采取闭口包干的性质，投标总价应包括监理服务全部内容。投标单位必须注意无论实际工程造价是否与估算造价有差距，或实施完成的总投资额度与本文件所述的投资额度有任何的差异，或施工工期与计划工期不一致，包干监理服务费均不允许调整。</w:t>
      </w:r>
    </w:p>
    <w:p>
      <w:pPr>
        <w:spacing w:line="360" w:lineRule="auto"/>
        <w:ind w:firstLine="420" w:firstLineChars="0"/>
        <w:jc w:val="left"/>
        <w:rPr>
          <w:rFonts w:hint="eastAsia" w:ascii="宋体" w:hAnsi="宋体" w:cs="宋体"/>
          <w:color w:val="000000"/>
          <w:sz w:val="24"/>
        </w:rPr>
      </w:pPr>
      <w:r>
        <w:rPr>
          <w:rFonts w:hint="eastAsia" w:ascii="宋体" w:hAnsi="宋体" w:cs="宋体"/>
          <w:color w:val="000000"/>
          <w:sz w:val="24"/>
        </w:rPr>
        <w:t>投标单位不得从事与本项目有关的设备采购、系统集成和应用系统开发等相关任务的商务活动。</w:t>
      </w:r>
      <w:r>
        <w:rPr>
          <w:rFonts w:hint="eastAsia" w:ascii="宋体" w:hAnsi="宋体" w:cs="宋体"/>
          <w:color w:val="000000"/>
          <w:sz w:val="24"/>
        </w:rPr>
        <w:br w:type="page"/>
      </w:r>
    </w:p>
    <w:p>
      <w:pPr>
        <w:pStyle w:val="28"/>
        <w:numPr>
          <w:ilvl w:val="0"/>
          <w:numId w:val="7"/>
        </w:numPr>
        <w:rPr>
          <w:rFonts w:ascii="华文仿宋" w:hAnsi="华文仿宋" w:cs="华文仿宋"/>
        </w:rPr>
      </w:pPr>
      <w:r>
        <w:rPr>
          <w:rFonts w:hint="eastAsia" w:ascii="华文仿宋" w:hAnsi="华文仿宋" w:cs="华文仿宋"/>
        </w:rPr>
        <w:t>参选文件有关格式</w:t>
      </w:r>
    </w:p>
    <w:p>
      <w:pPr>
        <w:spacing w:line="360" w:lineRule="auto"/>
        <w:rPr>
          <w:rFonts w:ascii="宋体" w:hAnsi="宋体"/>
          <w:sz w:val="28"/>
          <w:szCs w:val="28"/>
        </w:rPr>
      </w:pPr>
      <w:r>
        <w:rPr>
          <w:rFonts w:hint="eastAsia" w:ascii="宋体" w:hAnsi="宋体"/>
          <w:sz w:val="28"/>
          <w:szCs w:val="28"/>
        </w:rPr>
        <w:t>封面</w:t>
      </w:r>
    </w:p>
    <w:p>
      <w:pPr>
        <w:spacing w:line="360" w:lineRule="auto"/>
        <w:rPr>
          <w:rFonts w:ascii="宋体" w:hAnsi="宋体"/>
          <w:sz w:val="28"/>
          <w:szCs w:val="28"/>
        </w:rPr>
      </w:pPr>
      <w:r>
        <w:rPr>
          <w:rFonts w:hint="eastAsia" w:ascii="宋体" w:hAnsi="宋体"/>
          <w:sz w:val="28"/>
          <w:szCs w:val="28"/>
        </w:rPr>
        <w:t>目录</w:t>
      </w:r>
    </w:p>
    <w:p>
      <w:pPr>
        <w:numPr>
          <w:ilvl w:val="1"/>
          <w:numId w:val="8"/>
        </w:numPr>
        <w:spacing w:line="360" w:lineRule="auto"/>
        <w:ind w:left="142" w:hanging="142"/>
        <w:rPr>
          <w:rFonts w:ascii="宋体" w:hAnsi="宋体"/>
          <w:sz w:val="28"/>
          <w:szCs w:val="28"/>
        </w:rPr>
      </w:pPr>
      <w:r>
        <w:rPr>
          <w:rFonts w:hint="eastAsia" w:ascii="宋体" w:hAnsi="宋体"/>
          <w:sz w:val="28"/>
          <w:szCs w:val="28"/>
        </w:rPr>
        <w:t>报价一览表</w:t>
      </w:r>
    </w:p>
    <w:p>
      <w:pPr>
        <w:numPr>
          <w:ilvl w:val="1"/>
          <w:numId w:val="8"/>
        </w:numPr>
        <w:spacing w:line="360" w:lineRule="auto"/>
        <w:rPr>
          <w:rFonts w:ascii="宋体" w:hAnsi="宋体"/>
          <w:sz w:val="28"/>
          <w:szCs w:val="28"/>
        </w:rPr>
      </w:pPr>
      <w:r>
        <w:rPr>
          <w:rFonts w:hint="eastAsia" w:ascii="宋体" w:hAnsi="宋体"/>
          <w:sz w:val="28"/>
          <w:szCs w:val="28"/>
        </w:rPr>
        <w:t>资格审查响应表</w:t>
      </w:r>
    </w:p>
    <w:p>
      <w:pPr>
        <w:numPr>
          <w:ilvl w:val="1"/>
          <w:numId w:val="8"/>
        </w:numPr>
        <w:spacing w:line="360" w:lineRule="auto"/>
        <w:rPr>
          <w:rFonts w:ascii="宋体" w:hAnsi="宋体"/>
          <w:sz w:val="28"/>
          <w:szCs w:val="28"/>
        </w:rPr>
      </w:pPr>
      <w:r>
        <w:rPr>
          <w:rFonts w:hint="eastAsia" w:ascii="宋体" w:hAnsi="宋体"/>
          <w:sz w:val="28"/>
          <w:szCs w:val="28"/>
        </w:rPr>
        <w:t>符合性审查响应表</w:t>
      </w:r>
    </w:p>
    <w:p>
      <w:pPr>
        <w:numPr>
          <w:ilvl w:val="1"/>
          <w:numId w:val="8"/>
        </w:numPr>
        <w:spacing w:line="360" w:lineRule="auto"/>
        <w:rPr>
          <w:rFonts w:ascii="宋体" w:hAnsi="宋体"/>
          <w:sz w:val="28"/>
          <w:szCs w:val="28"/>
        </w:rPr>
      </w:pPr>
      <w:r>
        <w:rPr>
          <w:rFonts w:hint="eastAsia" w:ascii="宋体" w:hAnsi="宋体"/>
          <w:sz w:val="28"/>
          <w:szCs w:val="28"/>
        </w:rPr>
        <w:t>资格证明文件</w:t>
      </w:r>
    </w:p>
    <w:p>
      <w:pPr>
        <w:numPr>
          <w:ilvl w:val="1"/>
          <w:numId w:val="8"/>
        </w:numPr>
        <w:spacing w:line="360" w:lineRule="auto"/>
        <w:rPr>
          <w:rFonts w:ascii="宋体" w:hAnsi="宋体"/>
          <w:sz w:val="28"/>
          <w:szCs w:val="28"/>
        </w:rPr>
      </w:pPr>
      <w:r>
        <w:rPr>
          <w:rFonts w:hint="eastAsia" w:ascii="宋体" w:hAnsi="宋体"/>
          <w:color w:val="000000"/>
          <w:sz w:val="28"/>
          <w:szCs w:val="28"/>
        </w:rPr>
        <w:t>技术规格偏离表</w:t>
      </w:r>
    </w:p>
    <w:p>
      <w:pPr>
        <w:numPr>
          <w:ilvl w:val="1"/>
          <w:numId w:val="8"/>
        </w:numPr>
        <w:spacing w:line="360" w:lineRule="auto"/>
        <w:rPr>
          <w:rFonts w:ascii="宋体" w:hAnsi="宋体"/>
          <w:sz w:val="28"/>
          <w:szCs w:val="28"/>
        </w:rPr>
      </w:pPr>
      <w:r>
        <w:rPr>
          <w:rFonts w:hint="eastAsia" w:ascii="宋体" w:hAnsi="宋体"/>
          <w:sz w:val="28"/>
          <w:szCs w:val="28"/>
          <w:lang w:val="en-US" w:eastAsia="zh-CN"/>
        </w:rPr>
        <w:t>项目</w:t>
      </w:r>
      <w:r>
        <w:rPr>
          <w:rFonts w:hint="eastAsia" w:ascii="宋体" w:hAnsi="宋体"/>
          <w:sz w:val="28"/>
          <w:szCs w:val="28"/>
        </w:rPr>
        <w:t>需求理解</w:t>
      </w:r>
    </w:p>
    <w:p>
      <w:pPr>
        <w:numPr>
          <w:ilvl w:val="1"/>
          <w:numId w:val="8"/>
        </w:numPr>
        <w:spacing w:line="360" w:lineRule="auto"/>
        <w:rPr>
          <w:rFonts w:ascii="宋体" w:hAnsi="宋体"/>
          <w:sz w:val="28"/>
          <w:szCs w:val="28"/>
        </w:rPr>
      </w:pPr>
      <w:r>
        <w:rPr>
          <w:rFonts w:hint="eastAsia" w:ascii="宋体" w:hAnsi="宋体"/>
          <w:sz w:val="28"/>
          <w:szCs w:val="28"/>
        </w:rPr>
        <w:t>服务方案</w:t>
      </w:r>
    </w:p>
    <w:p>
      <w:pPr>
        <w:numPr>
          <w:ilvl w:val="1"/>
          <w:numId w:val="8"/>
        </w:numPr>
        <w:spacing w:line="360" w:lineRule="auto"/>
        <w:rPr>
          <w:rFonts w:ascii="宋体" w:hAnsi="宋体"/>
          <w:sz w:val="28"/>
          <w:szCs w:val="28"/>
        </w:rPr>
      </w:pPr>
      <w:r>
        <w:rPr>
          <w:rFonts w:hint="eastAsia" w:ascii="宋体" w:hAnsi="宋体"/>
          <w:sz w:val="28"/>
          <w:szCs w:val="28"/>
          <w:lang w:val="en-US" w:eastAsia="zh-CN"/>
        </w:rPr>
        <w:t>服务承诺</w:t>
      </w:r>
    </w:p>
    <w:p>
      <w:pPr>
        <w:numPr>
          <w:ilvl w:val="1"/>
          <w:numId w:val="8"/>
        </w:numPr>
        <w:spacing w:line="360" w:lineRule="auto"/>
        <w:rPr>
          <w:rFonts w:ascii="宋体" w:hAnsi="宋体"/>
          <w:sz w:val="28"/>
          <w:szCs w:val="28"/>
        </w:rPr>
      </w:pPr>
      <w:r>
        <w:rPr>
          <w:rFonts w:hint="eastAsia" w:ascii="宋体" w:hAnsi="宋体"/>
          <w:sz w:val="28"/>
          <w:szCs w:val="28"/>
        </w:rPr>
        <w:t>用户名单</w:t>
      </w:r>
    </w:p>
    <w:p>
      <w:pPr>
        <w:numPr>
          <w:ilvl w:val="1"/>
          <w:numId w:val="8"/>
        </w:numPr>
        <w:spacing w:line="360" w:lineRule="auto"/>
        <w:rPr>
          <w:rFonts w:ascii="宋体" w:hAnsi="宋体"/>
          <w:sz w:val="28"/>
          <w:szCs w:val="28"/>
        </w:rPr>
      </w:pPr>
      <w:r>
        <w:rPr>
          <w:rFonts w:hint="eastAsia" w:ascii="宋体" w:hAnsi="宋体"/>
          <w:sz w:val="28"/>
          <w:szCs w:val="28"/>
        </w:rPr>
        <w:t>参选人认为需要补充的其他资料</w:t>
      </w:r>
    </w:p>
    <w:p>
      <w:pPr>
        <w:pStyle w:val="28"/>
        <w:jc w:val="both"/>
        <w:rPr>
          <w:rFonts w:ascii="华文仿宋" w:hAnsi="华文仿宋" w:cs="华文仿宋"/>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jc w:val="both"/>
        <w:rPr>
          <w:rFonts w:ascii="华文仿宋" w:hAnsi="华文仿宋" w:eastAsia="华文仿宋"/>
          <w:sz w:val="60"/>
          <w:szCs w:val="60"/>
        </w:rPr>
      </w:pPr>
    </w:p>
    <w:p>
      <w:pPr>
        <w:jc w:val="center"/>
        <w:rPr>
          <w:rFonts w:ascii="宋体" w:hAnsi="宋体"/>
          <w:sz w:val="24"/>
        </w:rPr>
      </w:pPr>
    </w:p>
    <w:p>
      <w:pPr>
        <w:jc w:val="center"/>
        <w:rPr>
          <w:rFonts w:ascii="宋体" w:hAnsi="宋体"/>
          <w:b/>
          <w:sz w:val="56"/>
          <w:szCs w:val="56"/>
        </w:rPr>
      </w:pPr>
      <w:r>
        <w:rPr>
          <w:rFonts w:hint="eastAsia" w:ascii="宋体" w:hAnsi="宋体"/>
          <w:b/>
          <w:sz w:val="56"/>
          <w:szCs w:val="56"/>
        </w:rPr>
        <w:t>上海市儿童医院</w:t>
      </w:r>
    </w:p>
    <w:p>
      <w:pPr>
        <w:jc w:val="center"/>
        <w:rPr>
          <w:rFonts w:ascii="宋体" w:hAnsi="宋体"/>
          <w:b/>
          <w:color w:val="FF0000"/>
          <w:sz w:val="56"/>
          <w:szCs w:val="56"/>
        </w:rPr>
      </w:pPr>
      <w:r>
        <w:rPr>
          <w:rFonts w:hint="eastAsia" w:ascii="宋体" w:hAnsi="宋体"/>
          <w:b/>
          <w:color w:val="FF0000"/>
          <w:sz w:val="56"/>
          <w:szCs w:val="56"/>
        </w:rPr>
        <w:t>项目名称</w:t>
      </w:r>
    </w:p>
    <w:p>
      <w:pPr>
        <w:rPr>
          <w:rFonts w:ascii="宋体" w:hAnsi="宋体"/>
          <w:sz w:val="24"/>
        </w:rPr>
      </w:pPr>
    </w:p>
    <w:p>
      <w:pPr>
        <w:rPr>
          <w:rFonts w:ascii="宋体" w:hAnsi="宋体"/>
          <w:sz w:val="24"/>
        </w:rPr>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56"/>
          <w:szCs w:val="56"/>
        </w:rPr>
      </w:pPr>
      <w:r>
        <w:rPr>
          <w:rFonts w:hint="eastAsia" w:ascii="宋体" w:hAnsi="宋体"/>
          <w:b/>
          <w:sz w:val="56"/>
          <w:szCs w:val="56"/>
        </w:rPr>
        <w:t>参选文件</w:t>
      </w:r>
    </w:p>
    <w:p>
      <w:pPr>
        <w:jc w:val="center"/>
        <w:rPr>
          <w:rFonts w:ascii="宋体" w:hAnsi="宋体"/>
          <w:sz w:val="24"/>
        </w:rPr>
      </w:pPr>
    </w:p>
    <w:p>
      <w:pPr>
        <w:rPr>
          <w:rFonts w:ascii="宋体" w:hAnsi="宋体"/>
          <w:sz w:val="24"/>
        </w:rPr>
      </w:pPr>
    </w:p>
    <w:p>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pPr>
        <w:ind w:left="1260" w:right="1785" w:rightChars="850" w:firstLine="420"/>
        <w:rPr>
          <w:rFonts w:ascii="宋体" w:hAnsi="宋体"/>
          <w:sz w:val="28"/>
          <w:u w:val="single"/>
        </w:rPr>
      </w:pPr>
    </w:p>
    <w:p>
      <w:pPr>
        <w:rPr>
          <w:rFonts w:ascii="宋体" w:hAnsi="宋体"/>
          <w:sz w:val="24"/>
        </w:rPr>
      </w:pPr>
    </w:p>
    <w:p>
      <w:pPr>
        <w:rPr>
          <w:rFonts w:ascii="宋体" w:hAnsi="宋体"/>
          <w:sz w:val="24"/>
        </w:rPr>
      </w:pPr>
    </w:p>
    <w:p>
      <w:pPr>
        <w:spacing w:line="360" w:lineRule="auto"/>
        <w:rPr>
          <w:rFonts w:ascii="宋体" w:hAnsi="宋体"/>
          <w:sz w:val="28"/>
        </w:rPr>
      </w:pPr>
    </w:p>
    <w:p>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pPr>
        <w:spacing w:line="360" w:lineRule="auto"/>
        <w:ind w:left="840" w:firstLine="420"/>
        <w:rPr>
          <w:rFonts w:ascii="宋体" w:hAnsi="宋体"/>
          <w:sz w:val="28"/>
        </w:rPr>
      </w:pPr>
      <w:r>
        <w:rPr>
          <w:rFonts w:hint="eastAsia" w:ascii="宋体" w:hAnsi="宋体"/>
          <w:sz w:val="28"/>
        </w:rPr>
        <w:t>联系方式：___________________________________</w:t>
      </w:r>
    </w:p>
    <w:p>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pPr>
        <w:spacing w:line="360" w:lineRule="auto"/>
        <w:rPr>
          <w:rFonts w:ascii="宋体" w:hAnsi="宋体"/>
          <w:b/>
          <w:sz w:val="28"/>
        </w:rPr>
      </w:pPr>
    </w:p>
    <w:p>
      <w:pPr>
        <w:jc w:val="center"/>
        <w:rPr>
          <w:rFonts w:ascii="宋体" w:hAnsi="宋体"/>
          <w:b/>
          <w:sz w:val="36"/>
        </w:rPr>
      </w:pPr>
      <w:r>
        <w:rPr>
          <w:rFonts w:hint="eastAsia" w:ascii="宋体" w:hAnsi="宋体"/>
          <w:b/>
          <w:sz w:val="36"/>
        </w:rPr>
        <w:t>目录</w:t>
      </w:r>
    </w:p>
    <w:p>
      <w:pPr>
        <w:pStyle w:val="8"/>
      </w:pPr>
    </w:p>
    <w:p>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pPr>
        <w:pStyle w:val="8"/>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pPr>
        <w:rPr>
          <w:rFonts w:ascii="宋体" w:hAnsi="宋体" w:cs="宋体"/>
          <w:b/>
          <w:bCs/>
          <w:sz w:val="24"/>
        </w:rPr>
      </w:pPr>
      <w:r>
        <w:rPr>
          <w:rFonts w:hint="eastAsia" w:ascii="宋体" w:hAnsi="宋体" w:cs="宋体"/>
          <w:b/>
          <w:bCs/>
          <w:sz w:val="24"/>
        </w:rPr>
        <w:t>一、报价一览表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tbl>
      <w:tblPr>
        <w:tblStyle w:val="19"/>
        <w:tblpPr w:leftFromText="180" w:rightFromText="180" w:vertAnchor="text" w:horzAnchor="page" w:tblpX="1185" w:tblpY="328"/>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767"/>
        <w:gridCol w:w="2251"/>
        <w:gridCol w:w="2177"/>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54" w:type="dxa"/>
            <w:noWrap w:val="0"/>
            <w:vAlign w:val="center"/>
          </w:tcPr>
          <w:p>
            <w:pPr>
              <w:spacing w:after="120"/>
              <w:jc w:val="center"/>
              <w:rPr>
                <w:rFonts w:ascii="宋体" w:hAnsi="Calibri"/>
                <w:sz w:val="24"/>
              </w:rPr>
            </w:pPr>
            <w:r>
              <w:rPr>
                <w:rFonts w:hint="eastAsia" w:ascii="宋体" w:hAnsi="Calibri"/>
                <w:sz w:val="24"/>
              </w:rPr>
              <w:t>序号</w:t>
            </w:r>
          </w:p>
        </w:tc>
        <w:tc>
          <w:tcPr>
            <w:tcW w:w="1767"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项目内容</w:t>
            </w:r>
          </w:p>
        </w:tc>
        <w:tc>
          <w:tcPr>
            <w:tcW w:w="2251"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报价货币</w:t>
            </w:r>
          </w:p>
        </w:tc>
        <w:tc>
          <w:tcPr>
            <w:tcW w:w="2177"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报价金额</w:t>
            </w:r>
          </w:p>
        </w:tc>
        <w:tc>
          <w:tcPr>
            <w:tcW w:w="2607" w:type="dxa"/>
            <w:noWrap w:val="0"/>
            <w:vAlign w:val="center"/>
          </w:tcPr>
          <w:p>
            <w:pPr>
              <w:spacing w:after="120"/>
              <w:jc w:val="center"/>
              <w:rPr>
                <w:rFonts w:ascii="宋体" w:hAnsi="Calibri"/>
                <w:sz w:val="24"/>
              </w:rPr>
            </w:pPr>
            <w:r>
              <w:rPr>
                <w:rFonts w:hint="eastAsia" w:ascii="宋体" w:hAnsi="Calibri"/>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54" w:type="dxa"/>
            <w:noWrap w:val="0"/>
            <w:vAlign w:val="center"/>
          </w:tcPr>
          <w:p>
            <w:pPr>
              <w:spacing w:after="120"/>
              <w:jc w:val="center"/>
              <w:rPr>
                <w:rFonts w:ascii="宋体" w:hAnsi="Calibri"/>
                <w:sz w:val="24"/>
              </w:rPr>
            </w:pPr>
          </w:p>
        </w:tc>
        <w:tc>
          <w:tcPr>
            <w:tcW w:w="1767" w:type="dxa"/>
            <w:noWrap w:val="0"/>
            <w:vAlign w:val="center"/>
          </w:tcPr>
          <w:p>
            <w:pPr>
              <w:spacing w:after="120"/>
              <w:ind w:left="420" w:leftChars="200" w:firstLine="420"/>
              <w:jc w:val="center"/>
              <w:rPr>
                <w:rFonts w:ascii="宋体" w:hAnsi="Calibri"/>
                <w:sz w:val="24"/>
              </w:rPr>
            </w:pPr>
          </w:p>
        </w:tc>
        <w:tc>
          <w:tcPr>
            <w:tcW w:w="2251" w:type="dxa"/>
            <w:noWrap w:val="0"/>
            <w:vAlign w:val="center"/>
          </w:tcPr>
          <w:p>
            <w:pPr>
              <w:spacing w:after="120"/>
              <w:ind w:left="420" w:leftChars="200" w:firstLine="420"/>
              <w:jc w:val="center"/>
              <w:rPr>
                <w:rFonts w:ascii="宋体" w:hAnsi="Calibri"/>
                <w:sz w:val="24"/>
              </w:rPr>
            </w:pPr>
          </w:p>
        </w:tc>
        <w:tc>
          <w:tcPr>
            <w:tcW w:w="2177" w:type="dxa"/>
            <w:noWrap w:val="0"/>
            <w:vAlign w:val="center"/>
          </w:tcPr>
          <w:p>
            <w:pPr>
              <w:spacing w:after="120"/>
              <w:ind w:left="420" w:leftChars="200" w:firstLine="420"/>
              <w:jc w:val="center"/>
              <w:rPr>
                <w:rFonts w:ascii="宋体" w:hAnsi="Calibri"/>
                <w:sz w:val="24"/>
              </w:rPr>
            </w:pPr>
          </w:p>
        </w:tc>
        <w:tc>
          <w:tcPr>
            <w:tcW w:w="260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54" w:type="dxa"/>
            <w:noWrap w:val="0"/>
            <w:vAlign w:val="center"/>
          </w:tcPr>
          <w:p>
            <w:pPr>
              <w:spacing w:after="120"/>
              <w:ind w:left="420" w:leftChars="200" w:firstLine="420"/>
              <w:jc w:val="center"/>
              <w:rPr>
                <w:rFonts w:ascii="宋体" w:hAnsi="Calibri"/>
                <w:sz w:val="24"/>
              </w:rPr>
            </w:pPr>
          </w:p>
        </w:tc>
        <w:tc>
          <w:tcPr>
            <w:tcW w:w="1767" w:type="dxa"/>
            <w:noWrap w:val="0"/>
            <w:vAlign w:val="center"/>
          </w:tcPr>
          <w:p>
            <w:pPr>
              <w:spacing w:after="120"/>
              <w:ind w:left="420" w:leftChars="200" w:firstLine="420"/>
              <w:jc w:val="center"/>
              <w:rPr>
                <w:rFonts w:ascii="宋体" w:hAnsi="Calibri"/>
                <w:sz w:val="24"/>
              </w:rPr>
            </w:pPr>
          </w:p>
        </w:tc>
        <w:tc>
          <w:tcPr>
            <w:tcW w:w="2251" w:type="dxa"/>
            <w:noWrap w:val="0"/>
            <w:vAlign w:val="center"/>
          </w:tcPr>
          <w:p>
            <w:pPr>
              <w:spacing w:after="120"/>
              <w:ind w:left="420" w:leftChars="200" w:firstLine="420"/>
              <w:jc w:val="center"/>
              <w:rPr>
                <w:rFonts w:ascii="宋体" w:hAnsi="Calibri"/>
                <w:sz w:val="24"/>
              </w:rPr>
            </w:pPr>
          </w:p>
        </w:tc>
        <w:tc>
          <w:tcPr>
            <w:tcW w:w="2177" w:type="dxa"/>
            <w:noWrap w:val="0"/>
            <w:vAlign w:val="center"/>
          </w:tcPr>
          <w:p>
            <w:pPr>
              <w:spacing w:after="120"/>
              <w:ind w:left="420" w:leftChars="200" w:firstLine="420"/>
              <w:jc w:val="center"/>
              <w:rPr>
                <w:rFonts w:ascii="宋体" w:hAnsi="Calibri"/>
                <w:sz w:val="24"/>
              </w:rPr>
            </w:pPr>
          </w:p>
        </w:tc>
        <w:tc>
          <w:tcPr>
            <w:tcW w:w="260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54" w:type="dxa"/>
            <w:noWrap w:val="0"/>
            <w:vAlign w:val="center"/>
          </w:tcPr>
          <w:p>
            <w:pPr>
              <w:spacing w:after="120"/>
              <w:ind w:left="420" w:leftChars="200" w:firstLine="420"/>
              <w:jc w:val="center"/>
              <w:rPr>
                <w:rFonts w:ascii="宋体" w:hAnsi="Calibri"/>
                <w:sz w:val="24"/>
              </w:rPr>
            </w:pPr>
          </w:p>
        </w:tc>
        <w:tc>
          <w:tcPr>
            <w:tcW w:w="1767" w:type="dxa"/>
            <w:noWrap w:val="0"/>
            <w:vAlign w:val="center"/>
          </w:tcPr>
          <w:p>
            <w:pPr>
              <w:spacing w:after="120"/>
              <w:ind w:left="420" w:leftChars="200" w:firstLine="420"/>
              <w:jc w:val="center"/>
              <w:rPr>
                <w:rFonts w:ascii="宋体" w:hAnsi="Calibri"/>
                <w:sz w:val="24"/>
              </w:rPr>
            </w:pPr>
          </w:p>
        </w:tc>
        <w:tc>
          <w:tcPr>
            <w:tcW w:w="2251" w:type="dxa"/>
            <w:noWrap w:val="0"/>
            <w:vAlign w:val="center"/>
          </w:tcPr>
          <w:p>
            <w:pPr>
              <w:spacing w:after="120"/>
              <w:ind w:left="420" w:leftChars="200" w:firstLine="420"/>
              <w:jc w:val="center"/>
              <w:rPr>
                <w:rFonts w:ascii="宋体" w:hAnsi="Calibri"/>
                <w:sz w:val="24"/>
              </w:rPr>
            </w:pPr>
          </w:p>
        </w:tc>
        <w:tc>
          <w:tcPr>
            <w:tcW w:w="2177" w:type="dxa"/>
            <w:noWrap w:val="0"/>
            <w:vAlign w:val="center"/>
          </w:tcPr>
          <w:p>
            <w:pPr>
              <w:spacing w:after="120"/>
              <w:ind w:left="420" w:leftChars="200" w:firstLine="420"/>
              <w:jc w:val="center"/>
              <w:rPr>
                <w:rFonts w:ascii="宋体" w:hAnsi="Calibri"/>
                <w:sz w:val="24"/>
              </w:rPr>
            </w:pPr>
          </w:p>
        </w:tc>
        <w:tc>
          <w:tcPr>
            <w:tcW w:w="260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21" w:type="dxa"/>
            <w:gridSpan w:val="2"/>
            <w:noWrap w:val="0"/>
            <w:vAlign w:val="center"/>
          </w:tcPr>
          <w:p>
            <w:pPr>
              <w:spacing w:after="120"/>
              <w:jc w:val="center"/>
              <w:rPr>
                <w:rFonts w:ascii="宋体" w:hAnsi="Calibri"/>
                <w:sz w:val="24"/>
              </w:rPr>
            </w:pPr>
            <w:r>
              <w:rPr>
                <w:rFonts w:hint="eastAsia" w:ascii="宋体" w:hAnsi="Calibri"/>
                <w:sz w:val="24"/>
              </w:rPr>
              <w:t>总价（元）：</w:t>
            </w:r>
          </w:p>
        </w:tc>
        <w:tc>
          <w:tcPr>
            <w:tcW w:w="7035" w:type="dxa"/>
            <w:gridSpan w:val="3"/>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321" w:type="dxa"/>
            <w:gridSpan w:val="2"/>
            <w:noWrap w:val="0"/>
            <w:vAlign w:val="center"/>
          </w:tcPr>
          <w:p>
            <w:pPr>
              <w:spacing w:after="120"/>
              <w:jc w:val="center"/>
              <w:rPr>
                <w:rFonts w:ascii="宋体" w:hAnsi="Calibri"/>
                <w:sz w:val="24"/>
              </w:rPr>
            </w:pPr>
            <w:r>
              <w:rPr>
                <w:rFonts w:hint="eastAsia" w:ascii="宋体" w:hAnsi="Calibri"/>
                <w:sz w:val="24"/>
              </w:rPr>
              <w:t>总价（大写）：</w:t>
            </w:r>
          </w:p>
        </w:tc>
        <w:tc>
          <w:tcPr>
            <w:tcW w:w="7035" w:type="dxa"/>
            <w:gridSpan w:val="3"/>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321" w:type="dxa"/>
            <w:gridSpan w:val="2"/>
            <w:noWrap w:val="0"/>
            <w:vAlign w:val="center"/>
          </w:tcPr>
          <w:p>
            <w:pPr>
              <w:spacing w:after="120"/>
              <w:jc w:val="center"/>
              <w:rPr>
                <w:rFonts w:ascii="宋体" w:hAnsi="Calibri"/>
                <w:sz w:val="24"/>
              </w:rPr>
            </w:pPr>
            <w:r>
              <w:rPr>
                <w:rFonts w:hint="eastAsia" w:ascii="宋体" w:hAnsi="Calibri"/>
                <w:sz w:val="24"/>
              </w:rPr>
              <w:t>备注：</w:t>
            </w:r>
          </w:p>
        </w:tc>
        <w:tc>
          <w:tcPr>
            <w:tcW w:w="7035" w:type="dxa"/>
            <w:gridSpan w:val="3"/>
            <w:noWrap w:val="0"/>
            <w:vAlign w:val="center"/>
          </w:tcPr>
          <w:p>
            <w:pPr>
              <w:spacing w:after="120"/>
              <w:ind w:left="420" w:leftChars="200" w:firstLine="420"/>
              <w:jc w:val="center"/>
              <w:rPr>
                <w:rFonts w:ascii="宋体" w:hAnsi="Calibri"/>
                <w:sz w:val="24"/>
              </w:rPr>
            </w:pPr>
          </w:p>
        </w:tc>
      </w:tr>
    </w:tbl>
    <w:p>
      <w:pPr>
        <w:pStyle w:val="10"/>
        <w:ind w:left="0" w:leftChars="0" w:firstLine="0" w:firstLineChars="0"/>
        <w:rPr>
          <w:rFonts w:ascii="宋体"/>
          <w:sz w:val="24"/>
        </w:rPr>
      </w:pPr>
    </w:p>
    <w:p>
      <w:pPr>
        <w:pStyle w:val="10"/>
        <w:ind w:left="0" w:leftChars="0"/>
        <w:rPr>
          <w:rFonts w:ascii="宋体"/>
          <w:sz w:val="24"/>
        </w:rPr>
      </w:pPr>
    </w:p>
    <w:p>
      <w:pPr>
        <w:pStyle w:val="10"/>
        <w:ind w:left="0" w:leftChars="0"/>
      </w:pPr>
    </w:p>
    <w:p>
      <w:pPr>
        <w:spacing w:line="360" w:lineRule="auto"/>
        <w:rPr>
          <w:rFonts w:ascii="宋体"/>
          <w:sz w:val="24"/>
        </w:rPr>
      </w:pPr>
      <w:r>
        <w:rPr>
          <w:rFonts w:hint="eastAsia" w:ascii="宋体"/>
          <w:sz w:val="24"/>
        </w:rPr>
        <w:t>说明：以上报价有缺漏的其响应将被否决。</w:t>
      </w:r>
    </w:p>
    <w:p>
      <w:pPr>
        <w:pStyle w:val="17"/>
        <w:ind w:firstLine="0" w:firstLineChars="0"/>
        <w:rPr>
          <w:rFonts w:ascii="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jc w:val="left"/>
        <w:rPr>
          <w:rFonts w:ascii="宋体" w:hAnsi="宋体" w:cs="宋体"/>
          <w:sz w:val="24"/>
        </w:rPr>
      </w:pPr>
    </w:p>
    <w:p>
      <w:pPr>
        <w:pStyle w:val="17"/>
        <w:ind w:firstLine="240"/>
        <w:rPr>
          <w:rFonts w:ascii="宋体" w:hAnsi="宋体" w:cs="宋体"/>
          <w:sz w:val="24"/>
        </w:rPr>
      </w:pPr>
    </w:p>
    <w:p>
      <w:pPr>
        <w:rPr>
          <w:rFonts w:ascii="宋体" w:hAnsi="宋体" w:cs="宋体"/>
          <w:sz w:val="24"/>
        </w:rPr>
      </w:pPr>
      <w:r>
        <w:rPr>
          <w:rFonts w:hint="eastAsia" w:ascii="宋体" w:hAnsi="宋体" w:cs="宋体"/>
          <w:sz w:val="24"/>
        </w:rPr>
        <w:br w:type="page"/>
      </w:r>
    </w:p>
    <w:p>
      <w:pPr>
        <w:numPr>
          <w:ilvl w:val="0"/>
          <w:numId w:val="9"/>
        </w:numPr>
        <w:spacing w:line="360" w:lineRule="auto"/>
        <w:jc w:val="left"/>
        <w:rPr>
          <w:rFonts w:ascii="宋体" w:hAnsi="宋体"/>
          <w:b/>
          <w:color w:val="000000"/>
          <w:sz w:val="24"/>
        </w:rPr>
      </w:pPr>
      <w:r>
        <w:rPr>
          <w:rFonts w:hint="eastAsia" w:ascii="宋体" w:hAnsi="宋体"/>
          <w:b/>
          <w:color w:val="000000"/>
          <w:sz w:val="24"/>
        </w:rPr>
        <w:t>资格审查响应表</w:t>
      </w:r>
    </w:p>
    <w:p>
      <w:pPr>
        <w:pStyle w:val="8"/>
      </w:pPr>
    </w:p>
    <w:tbl>
      <w:tblPr>
        <w:tblStyle w:val="19"/>
        <w:tblW w:w="4809"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63"/>
        <w:gridCol w:w="5547"/>
        <w:gridCol w:w="767"/>
        <w:gridCol w:w="9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4" w:hRule="atLeast"/>
        </w:trPr>
        <w:tc>
          <w:tcPr>
            <w:tcW w:w="1017" w:type="pct"/>
            <w:vAlign w:val="center"/>
          </w:tcPr>
          <w:p>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3031"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419"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532" w:type="pct"/>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6" w:hRule="atLeast"/>
        </w:trPr>
        <w:tc>
          <w:tcPr>
            <w:tcW w:w="1017"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资格证明文件1</w:t>
            </w:r>
          </w:p>
        </w:tc>
        <w:tc>
          <w:tcPr>
            <w:tcW w:w="3031" w:type="pct"/>
            <w:vAlign w:val="center"/>
          </w:tcPr>
          <w:p>
            <w:pPr>
              <w:spacing w:line="288" w:lineRule="auto"/>
              <w:rPr>
                <w:rFonts w:ascii="宋体" w:hAnsi="宋体"/>
                <w:color w:val="000000"/>
                <w:sz w:val="22"/>
                <w:szCs w:val="22"/>
              </w:rPr>
            </w:pPr>
            <w:r>
              <w:rPr>
                <w:rFonts w:hint="eastAsia" w:ascii="宋体" w:hAnsi="宋体"/>
                <w:b/>
                <w:color w:val="000000"/>
                <w:sz w:val="22"/>
                <w:szCs w:val="22"/>
              </w:rPr>
              <w:t>参选截止日在有效期内的</w:t>
            </w:r>
            <w:r>
              <w:rPr>
                <w:rFonts w:hint="eastAsia" w:ascii="宋体" w:hAnsi="宋体"/>
                <w:color w:val="000000"/>
                <w:sz w:val="22"/>
                <w:szCs w:val="22"/>
              </w:rPr>
              <w:t>营业执照（或事业单位、社会团体相关证书）</w:t>
            </w:r>
          </w:p>
        </w:tc>
        <w:tc>
          <w:tcPr>
            <w:tcW w:w="419"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86" w:hRule="atLeast"/>
        </w:trPr>
        <w:tc>
          <w:tcPr>
            <w:tcW w:w="1017"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3031" w:type="pct"/>
            <w:vAlign w:val="center"/>
          </w:tcPr>
          <w:p>
            <w:pPr>
              <w:spacing w:line="288" w:lineRule="auto"/>
              <w:rPr>
                <w:rFonts w:ascii="宋体" w:hAnsi="宋体"/>
                <w:color w:val="000000"/>
                <w:sz w:val="22"/>
                <w:szCs w:val="22"/>
              </w:rPr>
            </w:pPr>
            <w:r>
              <w:rPr>
                <w:rFonts w:hint="eastAsia" w:ascii="宋体" w:hAnsi="宋体"/>
                <w:color w:val="000000"/>
                <w:sz w:val="22"/>
                <w:szCs w:val="22"/>
              </w:rPr>
              <w:t>无重大违法记录承诺书</w:t>
            </w:r>
          </w:p>
        </w:tc>
        <w:tc>
          <w:tcPr>
            <w:tcW w:w="419"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017"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3031" w:type="pct"/>
            <w:vAlign w:val="center"/>
          </w:tcPr>
          <w:p>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419"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9" w:hRule="atLeast"/>
        </w:trPr>
        <w:tc>
          <w:tcPr>
            <w:tcW w:w="1017"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3031" w:type="pct"/>
            <w:vAlign w:val="center"/>
          </w:tcPr>
          <w:p>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419"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1" w:hRule="atLeast"/>
        </w:trPr>
        <w:tc>
          <w:tcPr>
            <w:tcW w:w="1017" w:type="pct"/>
            <w:vAlign w:val="center"/>
          </w:tcPr>
          <w:p>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3031" w:type="pct"/>
            <w:vAlign w:val="center"/>
          </w:tcPr>
          <w:p>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419"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bookmarkEnd w:id="7"/>
    </w:tbl>
    <w:p>
      <w:pPr>
        <w:spacing w:line="360" w:lineRule="auto"/>
        <w:rPr>
          <w:rFonts w:ascii="宋体" w:hAnsi="宋体"/>
          <w:color w:val="000000"/>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rPr>
          <w:rFonts w:ascii="宋体" w:hAnsi="宋体"/>
          <w:b/>
          <w:color w:val="000000"/>
          <w:sz w:val="24"/>
        </w:rPr>
      </w:pPr>
      <w:r>
        <w:rPr>
          <w:rFonts w:hint="eastAsia" w:ascii="宋体" w:hAnsi="宋体"/>
          <w:b/>
          <w:color w:val="000000"/>
          <w:sz w:val="24"/>
        </w:rPr>
        <w:br w:type="page"/>
      </w:r>
    </w:p>
    <w:p>
      <w:pPr>
        <w:numPr>
          <w:ilvl w:val="0"/>
          <w:numId w:val="9"/>
        </w:numPr>
        <w:jc w:val="left"/>
        <w:rPr>
          <w:rFonts w:ascii="宋体" w:hAnsi="宋体"/>
          <w:b/>
          <w:color w:val="000000"/>
          <w:sz w:val="24"/>
        </w:rPr>
      </w:pPr>
      <w:r>
        <w:rPr>
          <w:rFonts w:hint="eastAsia" w:ascii="宋体" w:hAnsi="宋体"/>
          <w:b/>
          <w:color w:val="000000"/>
          <w:sz w:val="24"/>
        </w:rPr>
        <w:t>符合性审查响应表</w:t>
      </w:r>
    </w:p>
    <w:p>
      <w:pPr>
        <w:pStyle w:val="8"/>
      </w:pPr>
    </w:p>
    <w:tbl>
      <w:tblPr>
        <w:tblStyle w:val="19"/>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w:t>
            </w:r>
            <w:r>
              <w:rPr>
                <w:rFonts w:hint="eastAsia" w:ascii="宋体" w:hAnsi="宋体"/>
                <w:color w:val="000000"/>
                <w:kern w:val="0"/>
                <w:sz w:val="22"/>
                <w:szCs w:val="22"/>
                <w:lang w:val="en-US" w:eastAsia="zh-CN"/>
              </w:rPr>
              <w:t>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pPr>
              <w:widowControl/>
              <w:numPr>
                <w:ilvl w:val="0"/>
                <w:numId w:val="10"/>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bookmarkEnd w:id="8"/>
    </w:tbl>
    <w:p>
      <w:pPr>
        <w:jc w:val="left"/>
        <w:rPr>
          <w:rFonts w:ascii="宋体" w:hAnsi="宋体"/>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sz w:val="24"/>
        </w:rPr>
      </w:pPr>
      <w:r>
        <w:rPr>
          <w:rFonts w:ascii="宋体" w:hAnsi="宋体"/>
          <w:sz w:val="24"/>
        </w:rPr>
        <w:br w:type="page"/>
      </w:r>
    </w:p>
    <w:p>
      <w:pPr>
        <w:numPr>
          <w:ilvl w:val="0"/>
          <w:numId w:val="9"/>
        </w:numPr>
        <w:jc w:val="left"/>
        <w:rPr>
          <w:rFonts w:ascii="宋体" w:hAnsi="宋体"/>
          <w:b/>
          <w:color w:val="000000"/>
          <w:sz w:val="24"/>
        </w:rPr>
      </w:pPr>
      <w:r>
        <w:rPr>
          <w:rFonts w:hint="eastAsia" w:ascii="宋体" w:hAnsi="宋体"/>
          <w:b/>
          <w:color w:val="000000"/>
          <w:sz w:val="24"/>
        </w:rPr>
        <w:t>资格证明文件</w:t>
      </w:r>
    </w:p>
    <w:p>
      <w:pPr>
        <w:pStyle w:val="8"/>
        <w:rPr>
          <w:rFonts w:ascii="宋体" w:hAnsi="宋体"/>
          <w:b/>
          <w:color w:val="000000"/>
          <w:sz w:val="24"/>
        </w:rPr>
      </w:pPr>
    </w:p>
    <w:p>
      <w:pPr>
        <w:numPr>
          <w:ilvl w:val="0"/>
          <w:numId w:val="11"/>
        </w:numPr>
        <w:spacing w:line="360" w:lineRule="auto"/>
        <w:rPr>
          <w:rFonts w:ascii="宋体" w:hAnsi="宋体"/>
          <w:sz w:val="24"/>
        </w:rPr>
      </w:pPr>
      <w:r>
        <w:rPr>
          <w:rFonts w:hint="eastAsia" w:ascii="宋体" w:hAnsi="宋体"/>
          <w:sz w:val="24"/>
        </w:rPr>
        <w:t>参选截止日在有效期内的营业执照（或事业单位、社会团体相关证书）。</w:t>
      </w:r>
    </w:p>
    <w:p>
      <w:pPr>
        <w:pStyle w:val="8"/>
        <w:rPr>
          <w:rFonts w:ascii="宋体" w:hAnsi="宋体"/>
          <w:b/>
          <w:color w:val="000000"/>
          <w:sz w:val="24"/>
        </w:rPr>
      </w:pPr>
    </w:p>
    <w:p>
      <w:pPr>
        <w:numPr>
          <w:ilvl w:val="0"/>
          <w:numId w:val="11"/>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pPr>
        <w:spacing w:line="360" w:lineRule="auto"/>
        <w:rPr>
          <w:rFonts w:ascii="宋体" w:hAnsi="宋体"/>
          <w:sz w:val="24"/>
        </w:rPr>
      </w:pPr>
    </w:p>
    <w:p>
      <w:pPr>
        <w:numPr>
          <w:ilvl w:val="0"/>
          <w:numId w:val="11"/>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pPr>
        <w:spacing w:line="360" w:lineRule="auto"/>
        <w:rPr>
          <w:rFonts w:ascii="宋体" w:hAnsi="宋体"/>
          <w:sz w:val="24"/>
        </w:rPr>
      </w:pPr>
    </w:p>
    <w:p>
      <w:pPr>
        <w:numPr>
          <w:ilvl w:val="0"/>
          <w:numId w:val="11"/>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pPr>
        <w:spacing w:line="360" w:lineRule="auto"/>
        <w:rPr>
          <w:rFonts w:ascii="宋体" w:hAnsi="宋体"/>
          <w:sz w:val="24"/>
        </w:rPr>
      </w:pPr>
    </w:p>
    <w:p>
      <w:pPr>
        <w:numPr>
          <w:ilvl w:val="0"/>
          <w:numId w:val="11"/>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pPr>
        <w:pStyle w:val="8"/>
      </w:pPr>
    </w:p>
    <w:p>
      <w:pPr>
        <w:spacing w:line="360" w:lineRule="auto"/>
        <w:rPr>
          <w:rFonts w:ascii="宋体" w:hAnsi="宋体"/>
          <w:sz w:val="24"/>
        </w:rPr>
      </w:pPr>
    </w:p>
    <w:p>
      <w:pPr>
        <w:pStyle w:val="8"/>
        <w:rPr>
          <w:rFonts w:ascii="宋体" w:hAnsi="宋体"/>
          <w:b/>
          <w:color w:val="000000"/>
          <w:sz w:val="24"/>
        </w:rPr>
      </w:pPr>
    </w:p>
    <w:p>
      <w:pPr>
        <w:jc w:val="left"/>
        <w:rPr>
          <w:rFonts w:ascii="宋体" w:hAnsi="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widowControl/>
        <w:jc w:val="left"/>
        <w:rPr>
          <w:rFonts w:ascii="宋体" w:hAnsi="宋体" w:cs="宋体"/>
          <w:sz w:val="24"/>
        </w:rPr>
      </w:pPr>
      <w:r>
        <w:rPr>
          <w:rFonts w:ascii="宋体" w:hAnsi="宋体" w:cs="宋体"/>
          <w:sz w:val="24"/>
        </w:rPr>
        <w:br w:type="page"/>
      </w:r>
    </w:p>
    <w:p>
      <w:pPr>
        <w:jc w:val="left"/>
        <w:rPr>
          <w:rFonts w:ascii="宋体" w:hAnsi="宋体" w:cs="宋体"/>
          <w:sz w:val="24"/>
        </w:rPr>
      </w:pPr>
      <w:r>
        <w:rPr>
          <w:rFonts w:hint="eastAsia" w:ascii="宋体" w:hAnsi="宋体" w:cs="宋体"/>
          <w:sz w:val="24"/>
        </w:rPr>
        <w:t>附件1：法人代表授权书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spacing w:line="360" w:lineRule="auto"/>
        <w:rPr>
          <w:rFonts w:ascii="宋体" w:hAnsi="宋体" w:cs="宋体"/>
        </w:rPr>
      </w:pPr>
    </w:p>
    <w:p>
      <w:pPr>
        <w:pStyle w:val="31"/>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pPr>
        <w:pStyle w:val="31"/>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1"/>
        <w:autoSpaceDE w:val="0"/>
        <w:autoSpaceDN w:val="0"/>
        <w:spacing w:before="120" w:after="120"/>
        <w:jc w:val="left"/>
        <w:rPr>
          <w:rFonts w:ascii="宋体" w:hAnsi="宋体" w:eastAsia="宋体" w:cs="宋体"/>
        </w:rPr>
      </w:pPr>
    </w:p>
    <w:p>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lang w:val="en-US" w:eastAsia="zh-CN"/>
        </w:rPr>
        <w:t>或盖章</w:t>
      </w:r>
      <w:r>
        <w:rPr>
          <w:rFonts w:hint="eastAsia" w:ascii="宋体" w:hAnsi="宋体" w:eastAsia="宋体" w:cs="宋体"/>
        </w:rPr>
        <w:t>：</w:t>
      </w:r>
      <w:r>
        <w:rPr>
          <w:rFonts w:hint="eastAsia" w:ascii="宋体" w:hAnsi="宋体" w:eastAsia="宋体" w:cs="宋体"/>
        </w:rPr>
        <w:tab/>
      </w:r>
      <w:r>
        <w:rPr>
          <w:rFonts w:hint="eastAsia" w:ascii="宋体" w:hAnsi="宋体" w:eastAsia="宋体" w:cs="宋体"/>
          <w:u w:val="single"/>
        </w:rPr>
        <w:tab/>
      </w:r>
    </w:p>
    <w:p>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spacing w:line="360" w:lineRule="auto"/>
        <w:rPr>
          <w:rFonts w:hint="eastAsia" w:ascii="宋体" w:hAnsi="宋体" w:cs="宋体"/>
          <w:bCs/>
          <w:sz w:val="24"/>
        </w:rPr>
      </w:pPr>
      <w:r>
        <w:rPr>
          <w:rFonts w:hint="eastAsia" w:ascii="宋体" w:hAnsi="宋体" w:cs="宋体"/>
          <w:bCs/>
          <w:sz w:val="24"/>
        </w:rPr>
        <w:t>注：请另附上</w:t>
      </w:r>
      <w:r>
        <w:rPr>
          <w:rFonts w:hint="eastAsia" w:ascii="宋体" w:hAnsi="宋体" w:cs="宋体"/>
          <w:b/>
          <w:bCs w:val="0"/>
          <w:sz w:val="24"/>
        </w:rPr>
        <w:t>法人代表</w:t>
      </w:r>
      <w:r>
        <w:rPr>
          <w:rFonts w:hint="eastAsia" w:ascii="宋体" w:hAnsi="宋体" w:cs="宋体"/>
          <w:bCs/>
          <w:sz w:val="24"/>
        </w:rPr>
        <w:t>及</w:t>
      </w:r>
      <w:r>
        <w:rPr>
          <w:rFonts w:hint="eastAsia" w:ascii="宋体" w:hAnsi="宋体" w:cs="宋体"/>
          <w:b/>
          <w:bCs w:val="0"/>
          <w:sz w:val="24"/>
        </w:rPr>
        <w:t>被授权人</w:t>
      </w:r>
      <w:r>
        <w:rPr>
          <w:rFonts w:hint="eastAsia" w:ascii="宋体" w:hAnsi="宋体" w:cs="宋体"/>
          <w:bCs/>
          <w:sz w:val="24"/>
        </w:rPr>
        <w:t>的身份证（正反两面）或其他有效证件的复印件各一份。</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pPr>
        <w:pStyle w:val="26"/>
        <w:ind w:left="0" w:leftChars="0" w:firstLine="0" w:firstLineChars="0"/>
      </w:pPr>
    </w:p>
    <w:p>
      <w:pPr>
        <w:rPr>
          <w:rFonts w:hint="eastAsia" w:ascii="宋体" w:hAnsi="宋体" w:cs="宋体"/>
          <w:sz w:val="24"/>
        </w:rPr>
      </w:pPr>
      <w:r>
        <w:rPr>
          <w:rFonts w:hint="eastAsia" w:ascii="宋体" w:hAnsi="宋体" w:cs="宋体"/>
          <w:sz w:val="24"/>
        </w:rPr>
        <w:br w:type="page"/>
      </w:r>
    </w:p>
    <w:p>
      <w:pPr>
        <w:spacing w:line="360" w:lineRule="auto"/>
        <w:rPr>
          <w:rFonts w:ascii="宋体" w:hAnsi="宋体" w:cs="宋体"/>
          <w:sz w:val="24"/>
        </w:rPr>
      </w:pPr>
      <w:r>
        <w:rPr>
          <w:rFonts w:hint="eastAsia" w:ascii="宋体" w:hAnsi="宋体" w:cs="宋体"/>
          <w:sz w:val="24"/>
        </w:rPr>
        <w:t>附件2：无重大违法记录承诺书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8"/>
        <w:rPr>
          <w:rFonts w:ascii="宋体" w:hAnsi="宋体" w:cs="宋体"/>
          <w:sz w:val="24"/>
          <w:u w:val="single"/>
        </w:rPr>
      </w:pPr>
    </w:p>
    <w:p>
      <w:pPr>
        <w:pStyle w:val="8"/>
        <w:rPr>
          <w:rFonts w:ascii="宋体" w:hAnsi="宋体" w:cs="宋体"/>
          <w:sz w:val="24"/>
          <w:u w:val="single"/>
        </w:rPr>
      </w:pPr>
    </w:p>
    <w:p>
      <w:pPr>
        <w:pStyle w:val="8"/>
        <w:rPr>
          <w:rFonts w:ascii="宋体" w:hAnsi="宋体" w:cs="宋体"/>
          <w:sz w:val="24"/>
          <w:u w:val="single"/>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pPr>
        <w:ind w:firstLine="2720" w:firstLineChars="850"/>
        <w:rPr>
          <w:rFonts w:ascii="宋体" w:hAnsi="宋体" w:cs="宋体"/>
          <w:b/>
          <w:sz w:val="32"/>
          <w:szCs w:val="20"/>
        </w:rPr>
      </w:pP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rPr>
          <w:rFonts w:ascii="宋体" w:hAnsi="宋体"/>
          <w:sz w:val="24"/>
        </w:rPr>
      </w:pPr>
      <w:r>
        <w:rPr>
          <w:rFonts w:hint="eastAsia" w:ascii="宋体" w:hAnsi="宋体" w:cs="宋体"/>
          <w:sz w:val="24"/>
        </w:rPr>
        <w:t>附件4：</w:t>
      </w:r>
      <w:r>
        <w:rPr>
          <w:rFonts w:hint="eastAsia" w:ascii="宋体" w:hAnsi="宋体"/>
          <w:sz w:val="24"/>
        </w:rPr>
        <w:t>信用中国记录查询</w:t>
      </w:r>
    </w:p>
    <w:p>
      <w:pPr>
        <w:jc w:val="center"/>
        <w:rPr>
          <w:rFonts w:ascii="宋体" w:hAnsi="宋体"/>
          <w:b/>
          <w:sz w:val="32"/>
          <w:szCs w:val="20"/>
        </w:rPr>
      </w:pPr>
      <w:r>
        <w:rPr>
          <w:rFonts w:hint="eastAsia" w:ascii="宋体" w:hAnsi="宋体"/>
          <w:b/>
          <w:sz w:val="32"/>
          <w:szCs w:val="20"/>
        </w:rPr>
        <w:t>信用中国查询结果截图</w:t>
      </w:r>
    </w:p>
    <w:p>
      <w:pPr>
        <w:spacing w:line="360" w:lineRule="auto"/>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未被“信用中国”（www.creditchina.gov.cn）列入失信被执行人截图</w:t>
      </w:r>
    </w:p>
    <w:p>
      <w:pPr>
        <w:spacing w:line="360" w:lineRule="auto"/>
        <w:rPr>
          <w:rFonts w:ascii="宋体" w:hAnsi="宋体"/>
          <w:color w:val="000000"/>
          <w:sz w:val="24"/>
          <w:szCs w:val="20"/>
        </w:rPr>
      </w:pPr>
      <w:r>
        <w:rPr>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pPr>
        <w:spacing w:line="360" w:lineRule="auto"/>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未被“信用中国”（www.creditchina.gov.cn）列入重大税收违法案件当事人名单截图</w:t>
      </w:r>
    </w:p>
    <w:p>
      <w:pPr>
        <w:pStyle w:val="7"/>
        <w:rPr>
          <w:rFonts w:ascii="宋体" w:hAnsi="宋体"/>
          <w:color w:val="000000"/>
          <w:sz w:val="24"/>
          <w:szCs w:val="20"/>
        </w:rPr>
      </w:pPr>
      <w:r>
        <w:rPr>
          <w:rFonts w:ascii="宋体" w:hAnsi="宋体"/>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spacing w:line="360" w:lineRule="auto"/>
        <w:rPr>
          <w:rFonts w:ascii="宋体" w:hAnsi="宋体"/>
          <w:b/>
          <w:color w:val="000000"/>
          <w:sz w:val="24"/>
          <w:szCs w:val="20"/>
        </w:rPr>
      </w:pPr>
    </w:p>
    <w:p>
      <w:pPr>
        <w:rPr>
          <w:rFonts w:ascii="宋体" w:hAnsi="宋体"/>
          <w:sz w:val="24"/>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pPr>
        <w:rPr>
          <w:rFonts w:ascii="宋体" w:hAnsi="宋体" w:cs="宋体"/>
          <w:b/>
          <w:sz w:val="32"/>
          <w:szCs w:val="20"/>
        </w:rPr>
      </w:pP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技术规格偏离表（格式）</w:t>
      </w:r>
    </w:p>
    <w:p>
      <w:pPr>
        <w:rPr>
          <w:rFonts w:ascii="宋体" w:hAnsi="宋体" w:cs="宋体"/>
        </w:rPr>
      </w:pPr>
    </w:p>
    <w:p>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pPr>
        <w:pStyle w:val="8"/>
      </w:pPr>
    </w:p>
    <w:p>
      <w:pPr>
        <w:rPr>
          <w:rFonts w:ascii="宋体" w:hAnsi="宋体" w:cs="宋体"/>
        </w:rPr>
      </w:pPr>
    </w:p>
    <w:tbl>
      <w:tblPr>
        <w:tblStyle w:val="19"/>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404"/>
        <w:gridCol w:w="1980"/>
        <w:gridCol w:w="2445"/>
        <w:gridCol w:w="1709"/>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404"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980" w:type="dxa"/>
            <w:vAlign w:val="center"/>
          </w:tcPr>
          <w:p>
            <w:pPr>
              <w:spacing w:line="360" w:lineRule="auto"/>
              <w:jc w:val="center"/>
              <w:rPr>
                <w:rFonts w:ascii="宋体" w:hAnsi="宋体" w:cs="宋体"/>
                <w:sz w:val="24"/>
              </w:rPr>
            </w:pPr>
            <w:r>
              <w:rPr>
                <w:rFonts w:hint="eastAsia" w:ascii="宋体" w:hAnsi="宋体" w:cs="宋体"/>
                <w:sz w:val="24"/>
              </w:rPr>
              <w:t>遴选文件要求</w:t>
            </w:r>
          </w:p>
        </w:tc>
        <w:tc>
          <w:tcPr>
            <w:tcW w:w="2445" w:type="dxa"/>
            <w:vAlign w:val="center"/>
          </w:tcPr>
          <w:p>
            <w:pPr>
              <w:spacing w:line="360" w:lineRule="auto"/>
              <w:jc w:val="center"/>
              <w:rPr>
                <w:rFonts w:ascii="宋体" w:hAnsi="宋体" w:cs="宋体"/>
                <w:sz w:val="24"/>
              </w:rPr>
            </w:pPr>
            <w:r>
              <w:rPr>
                <w:rFonts w:hint="eastAsia" w:ascii="宋体" w:hAnsi="宋体"/>
                <w:sz w:val="24"/>
              </w:rPr>
              <w:t>参选文件响应内容</w:t>
            </w:r>
          </w:p>
        </w:tc>
        <w:tc>
          <w:tcPr>
            <w:tcW w:w="1709" w:type="dxa"/>
            <w:vAlign w:val="center"/>
          </w:tcPr>
          <w:p>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pPr>
              <w:spacing w:line="360" w:lineRule="auto"/>
              <w:jc w:val="center"/>
              <w:rPr>
                <w:rFonts w:ascii="宋体" w:hAnsi="宋体" w:cs="宋体"/>
                <w:sz w:val="24"/>
              </w:rPr>
            </w:pPr>
            <w:r>
              <w:rPr>
                <w:rFonts w:hint="eastAsia" w:ascii="宋体" w:hAnsi="宋体"/>
                <w:sz w:val="24"/>
              </w:rPr>
              <w:t>对应参选文件页码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404" w:type="dxa"/>
          </w:tcPr>
          <w:p>
            <w:pPr>
              <w:spacing w:line="360" w:lineRule="auto"/>
              <w:rPr>
                <w:rFonts w:ascii="宋体" w:hAnsi="宋体" w:cs="宋体"/>
              </w:rPr>
            </w:pPr>
          </w:p>
        </w:tc>
        <w:tc>
          <w:tcPr>
            <w:tcW w:w="1980" w:type="dxa"/>
          </w:tcPr>
          <w:p>
            <w:pPr>
              <w:spacing w:line="360" w:lineRule="auto"/>
              <w:rPr>
                <w:rFonts w:ascii="宋体" w:hAnsi="宋体" w:cs="宋体"/>
              </w:rPr>
            </w:pPr>
          </w:p>
        </w:tc>
        <w:tc>
          <w:tcPr>
            <w:tcW w:w="2445" w:type="dxa"/>
          </w:tcPr>
          <w:p>
            <w:pPr>
              <w:spacing w:line="360" w:lineRule="auto"/>
              <w:rPr>
                <w:rFonts w:ascii="宋体" w:hAnsi="宋体" w:cs="宋体"/>
              </w:rPr>
            </w:pPr>
          </w:p>
        </w:tc>
        <w:tc>
          <w:tcPr>
            <w:tcW w:w="1709"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404" w:type="dxa"/>
          </w:tcPr>
          <w:p>
            <w:pPr>
              <w:spacing w:line="360" w:lineRule="auto"/>
              <w:rPr>
                <w:rFonts w:ascii="宋体" w:hAnsi="宋体" w:cs="宋体"/>
              </w:rPr>
            </w:pPr>
          </w:p>
        </w:tc>
        <w:tc>
          <w:tcPr>
            <w:tcW w:w="1980" w:type="dxa"/>
          </w:tcPr>
          <w:p>
            <w:pPr>
              <w:spacing w:line="360" w:lineRule="auto"/>
              <w:rPr>
                <w:rFonts w:ascii="宋体" w:hAnsi="宋体" w:cs="宋体"/>
              </w:rPr>
            </w:pPr>
          </w:p>
        </w:tc>
        <w:tc>
          <w:tcPr>
            <w:tcW w:w="2445" w:type="dxa"/>
          </w:tcPr>
          <w:p>
            <w:pPr>
              <w:spacing w:line="360" w:lineRule="auto"/>
              <w:rPr>
                <w:rFonts w:ascii="宋体" w:hAnsi="宋体" w:cs="宋体"/>
              </w:rPr>
            </w:pPr>
          </w:p>
        </w:tc>
        <w:tc>
          <w:tcPr>
            <w:tcW w:w="1709"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404" w:type="dxa"/>
          </w:tcPr>
          <w:p>
            <w:pPr>
              <w:spacing w:line="360" w:lineRule="auto"/>
              <w:rPr>
                <w:rFonts w:ascii="宋体" w:hAnsi="宋体" w:cs="宋体"/>
              </w:rPr>
            </w:pPr>
          </w:p>
        </w:tc>
        <w:tc>
          <w:tcPr>
            <w:tcW w:w="1980" w:type="dxa"/>
          </w:tcPr>
          <w:p>
            <w:pPr>
              <w:spacing w:line="360" w:lineRule="auto"/>
              <w:rPr>
                <w:rFonts w:ascii="宋体" w:hAnsi="宋体" w:cs="宋体"/>
              </w:rPr>
            </w:pPr>
          </w:p>
        </w:tc>
        <w:tc>
          <w:tcPr>
            <w:tcW w:w="2445" w:type="dxa"/>
          </w:tcPr>
          <w:p>
            <w:pPr>
              <w:spacing w:line="360" w:lineRule="auto"/>
              <w:rPr>
                <w:rFonts w:ascii="宋体" w:hAnsi="宋体" w:cs="宋体"/>
              </w:rPr>
            </w:pPr>
          </w:p>
        </w:tc>
        <w:tc>
          <w:tcPr>
            <w:tcW w:w="1709"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404" w:type="dxa"/>
          </w:tcPr>
          <w:p>
            <w:pPr>
              <w:spacing w:line="360" w:lineRule="auto"/>
              <w:rPr>
                <w:rFonts w:ascii="宋体" w:hAnsi="宋体" w:cs="宋体"/>
              </w:rPr>
            </w:pPr>
          </w:p>
        </w:tc>
        <w:tc>
          <w:tcPr>
            <w:tcW w:w="1980" w:type="dxa"/>
          </w:tcPr>
          <w:p>
            <w:pPr>
              <w:spacing w:line="360" w:lineRule="auto"/>
              <w:rPr>
                <w:rFonts w:ascii="宋体" w:hAnsi="宋体" w:cs="宋体"/>
              </w:rPr>
            </w:pPr>
          </w:p>
        </w:tc>
        <w:tc>
          <w:tcPr>
            <w:tcW w:w="2445" w:type="dxa"/>
          </w:tcPr>
          <w:p>
            <w:pPr>
              <w:spacing w:line="360" w:lineRule="auto"/>
              <w:rPr>
                <w:rFonts w:ascii="宋体" w:hAnsi="宋体" w:cs="宋体"/>
              </w:rPr>
            </w:pPr>
          </w:p>
        </w:tc>
        <w:tc>
          <w:tcPr>
            <w:tcW w:w="1709"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404" w:type="dxa"/>
          </w:tcPr>
          <w:p>
            <w:pPr>
              <w:spacing w:line="360" w:lineRule="auto"/>
              <w:rPr>
                <w:rFonts w:ascii="宋体" w:hAnsi="宋体" w:cs="宋体"/>
              </w:rPr>
            </w:pPr>
          </w:p>
        </w:tc>
        <w:tc>
          <w:tcPr>
            <w:tcW w:w="1980" w:type="dxa"/>
          </w:tcPr>
          <w:p>
            <w:pPr>
              <w:spacing w:line="360" w:lineRule="auto"/>
              <w:rPr>
                <w:rFonts w:ascii="宋体" w:hAnsi="宋体" w:cs="宋体"/>
              </w:rPr>
            </w:pPr>
          </w:p>
        </w:tc>
        <w:tc>
          <w:tcPr>
            <w:tcW w:w="2445" w:type="dxa"/>
          </w:tcPr>
          <w:p>
            <w:pPr>
              <w:spacing w:line="360" w:lineRule="auto"/>
              <w:rPr>
                <w:rFonts w:ascii="宋体" w:hAnsi="宋体" w:cs="宋体"/>
              </w:rPr>
            </w:pPr>
          </w:p>
        </w:tc>
        <w:tc>
          <w:tcPr>
            <w:tcW w:w="1709"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404" w:type="dxa"/>
          </w:tcPr>
          <w:p>
            <w:pPr>
              <w:spacing w:line="360" w:lineRule="auto"/>
              <w:rPr>
                <w:rFonts w:ascii="宋体" w:hAnsi="宋体" w:cs="宋体"/>
              </w:rPr>
            </w:pPr>
          </w:p>
        </w:tc>
        <w:tc>
          <w:tcPr>
            <w:tcW w:w="1980" w:type="dxa"/>
          </w:tcPr>
          <w:p>
            <w:pPr>
              <w:spacing w:line="360" w:lineRule="auto"/>
              <w:rPr>
                <w:rFonts w:ascii="宋体" w:hAnsi="宋体" w:cs="宋体"/>
              </w:rPr>
            </w:pPr>
          </w:p>
        </w:tc>
        <w:tc>
          <w:tcPr>
            <w:tcW w:w="2445" w:type="dxa"/>
          </w:tcPr>
          <w:p>
            <w:pPr>
              <w:spacing w:line="360" w:lineRule="auto"/>
              <w:rPr>
                <w:rFonts w:ascii="宋体" w:hAnsi="宋体" w:cs="宋体"/>
              </w:rPr>
            </w:pPr>
          </w:p>
        </w:tc>
        <w:tc>
          <w:tcPr>
            <w:tcW w:w="1709"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404" w:type="dxa"/>
          </w:tcPr>
          <w:p>
            <w:pPr>
              <w:spacing w:line="360" w:lineRule="auto"/>
              <w:rPr>
                <w:rFonts w:ascii="宋体" w:hAnsi="宋体" w:cs="宋体"/>
              </w:rPr>
            </w:pPr>
          </w:p>
        </w:tc>
        <w:tc>
          <w:tcPr>
            <w:tcW w:w="1980" w:type="dxa"/>
          </w:tcPr>
          <w:p>
            <w:pPr>
              <w:spacing w:line="360" w:lineRule="auto"/>
              <w:rPr>
                <w:rFonts w:ascii="宋体" w:hAnsi="宋体" w:cs="宋体"/>
              </w:rPr>
            </w:pPr>
          </w:p>
        </w:tc>
        <w:tc>
          <w:tcPr>
            <w:tcW w:w="2445" w:type="dxa"/>
          </w:tcPr>
          <w:p>
            <w:pPr>
              <w:spacing w:line="360" w:lineRule="auto"/>
              <w:rPr>
                <w:rFonts w:ascii="宋体" w:hAnsi="宋体" w:cs="宋体"/>
              </w:rPr>
            </w:pPr>
          </w:p>
        </w:tc>
        <w:tc>
          <w:tcPr>
            <w:tcW w:w="1709"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404" w:type="dxa"/>
          </w:tcPr>
          <w:p>
            <w:pPr>
              <w:spacing w:line="360" w:lineRule="auto"/>
              <w:rPr>
                <w:rFonts w:ascii="宋体" w:hAnsi="宋体" w:cs="宋体"/>
              </w:rPr>
            </w:pPr>
          </w:p>
        </w:tc>
        <w:tc>
          <w:tcPr>
            <w:tcW w:w="1980" w:type="dxa"/>
          </w:tcPr>
          <w:p>
            <w:pPr>
              <w:spacing w:line="360" w:lineRule="auto"/>
              <w:rPr>
                <w:rFonts w:ascii="宋体" w:hAnsi="宋体" w:cs="宋体"/>
              </w:rPr>
            </w:pPr>
          </w:p>
        </w:tc>
        <w:tc>
          <w:tcPr>
            <w:tcW w:w="2445" w:type="dxa"/>
          </w:tcPr>
          <w:p>
            <w:pPr>
              <w:spacing w:line="360" w:lineRule="auto"/>
              <w:rPr>
                <w:rFonts w:ascii="宋体" w:hAnsi="宋体" w:cs="宋体"/>
              </w:rPr>
            </w:pPr>
          </w:p>
        </w:tc>
        <w:tc>
          <w:tcPr>
            <w:tcW w:w="1709"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pPr>
        <w:spacing w:line="360" w:lineRule="auto"/>
        <w:jc w:val="left"/>
        <w:rPr>
          <w:rFonts w:ascii="宋体" w:hAnsi="宋体"/>
          <w:sz w:val="24"/>
        </w:rPr>
      </w:pPr>
      <w:r>
        <w:rPr>
          <w:rFonts w:hint="eastAsia" w:ascii="宋体" w:hAnsi="宋体"/>
          <w:sz w:val="24"/>
        </w:rPr>
        <w:t>2、如果表格叙述不下，可另附页说明。</w:t>
      </w:r>
    </w:p>
    <w:p>
      <w:pPr>
        <w:spacing w:line="360" w:lineRule="auto"/>
        <w:rPr>
          <w:rFonts w:ascii="宋体" w:hAnsi="宋体"/>
        </w:rPr>
      </w:pPr>
    </w:p>
    <w:p>
      <w:pPr>
        <w:spacing w:line="360" w:lineRule="auto"/>
        <w:rPr>
          <w:rFonts w:ascii="宋体" w:hAnsi="宋体"/>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widowControl/>
        <w:jc w:val="left"/>
        <w:rPr>
          <w:rFonts w:hint="eastAsia" w:ascii="宋体" w:hAnsi="宋体"/>
          <w:b/>
          <w:color w:val="000000"/>
          <w:sz w:val="24"/>
        </w:rPr>
      </w:pPr>
      <w:r>
        <w:rPr>
          <w:rFonts w:hint="eastAsia" w:ascii="宋体" w:hAnsi="宋体" w:cs="宋体"/>
          <w:sz w:val="24"/>
        </w:rPr>
        <w:br w:type="page"/>
      </w:r>
      <w:r>
        <w:rPr>
          <w:rFonts w:hint="eastAsia" w:ascii="宋体" w:hAnsi="宋体"/>
          <w:b/>
          <w:color w:val="000000"/>
          <w:sz w:val="24"/>
        </w:rPr>
        <w:t>六、项目需求理解（格式自拟）</w:t>
      </w:r>
    </w:p>
    <w:p>
      <w:pPr>
        <w:rPr>
          <w:rFonts w:hint="eastAsia" w:ascii="宋体" w:hAnsi="宋体"/>
          <w:b/>
          <w:color w:val="000000"/>
          <w:sz w:val="24"/>
        </w:rPr>
      </w:pPr>
      <w:r>
        <w:rPr>
          <w:rFonts w:hint="eastAsia" w:ascii="宋体" w:hAnsi="宋体"/>
          <w:b/>
          <w:color w:val="000000"/>
          <w:sz w:val="24"/>
        </w:rPr>
        <w:br w:type="page"/>
      </w:r>
    </w:p>
    <w:p>
      <w:pPr>
        <w:widowControl/>
        <w:jc w:val="left"/>
        <w:rPr>
          <w:rFonts w:ascii="宋体" w:hAnsi="宋体" w:cs="宋体"/>
          <w:sz w:val="24"/>
        </w:rPr>
      </w:pPr>
      <w:r>
        <w:rPr>
          <w:rFonts w:hint="eastAsia" w:ascii="宋体" w:hAnsi="宋体"/>
          <w:b/>
          <w:color w:val="000000"/>
          <w:sz w:val="24"/>
        </w:rPr>
        <w:t>七、服务方案（格式自拟）</w:t>
      </w:r>
    </w:p>
    <w:p>
      <w:pPr>
        <w:jc w:val="left"/>
        <w:rPr>
          <w:rFonts w:ascii="宋体" w:hAnsi="宋体"/>
          <w:b/>
          <w:color w:val="000000"/>
          <w:sz w:val="24"/>
        </w:rPr>
      </w:pPr>
    </w:p>
    <w:p>
      <w:pPr>
        <w:jc w:val="left"/>
        <w:rPr>
          <w:rFonts w:ascii="宋体" w:hAnsi="宋体" w:cs="宋体"/>
          <w:sz w:val="24"/>
        </w:rPr>
      </w:pPr>
      <w:r>
        <w:rPr>
          <w:rFonts w:hint="eastAsia" w:ascii="宋体" w:hAnsi="宋体"/>
          <w:b/>
          <w:color w:val="000000"/>
          <w:sz w:val="24"/>
        </w:rPr>
        <w:t xml:space="preserve"> </w:t>
      </w:r>
      <w:r>
        <w:rPr>
          <w:rFonts w:hint="eastAsia" w:ascii="宋体" w:hAnsi="宋体" w:cs="宋体"/>
          <w:bCs/>
          <w:sz w:val="32"/>
          <w:szCs w:val="20"/>
        </w:rPr>
        <w:t xml:space="preserve">  </w:t>
      </w:r>
      <w:r>
        <w:rPr>
          <w:rFonts w:hint="eastAsia" w:ascii="宋体" w:hAnsi="宋体" w:cs="宋体"/>
          <w:b/>
          <w:sz w:val="32"/>
          <w:szCs w:val="20"/>
        </w:rPr>
        <w:t xml:space="preserve"> </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lang w:val="en-US" w:eastAsia="zh-CN"/>
        </w:rPr>
        <w:t>八</w:t>
      </w:r>
      <w:r>
        <w:rPr>
          <w:rFonts w:hint="eastAsia" w:ascii="宋体" w:hAnsi="宋体"/>
          <w:b/>
          <w:color w:val="000000"/>
          <w:sz w:val="24"/>
        </w:rPr>
        <w:t>、服务承诺（格式自拟）</w:t>
      </w:r>
    </w:p>
    <w:p>
      <w:pPr>
        <w:jc w:val="left"/>
        <w:rPr>
          <w:rFonts w:ascii="宋体" w:hAnsi="宋体" w:cs="宋体"/>
          <w:sz w:val="24"/>
        </w:rPr>
      </w:pPr>
    </w:p>
    <w:p>
      <w:pPr>
        <w:jc w:val="left"/>
        <w:rPr>
          <w:rFonts w:ascii="宋体" w:hAnsi="宋体" w:cs="宋体"/>
          <w:sz w:val="24"/>
        </w:rPr>
      </w:pPr>
    </w:p>
    <w:p>
      <w:pPr>
        <w:rPr>
          <w:rFonts w:ascii="宋体" w:hAnsi="宋体" w:cs="宋体"/>
          <w:sz w:val="24"/>
        </w:rPr>
      </w:pPr>
      <w:r>
        <w:rPr>
          <w:rFonts w:hint="eastAsia" w:ascii="宋体" w:hAnsi="宋体" w:cs="宋体"/>
          <w:sz w:val="24"/>
        </w:rPr>
        <w:br w:type="page"/>
      </w:r>
    </w:p>
    <w:p>
      <w:pPr>
        <w:rPr>
          <w:rFonts w:ascii="宋体" w:hAnsi="宋体"/>
          <w:b/>
          <w:color w:val="000000"/>
          <w:sz w:val="24"/>
        </w:rPr>
      </w:pPr>
      <w:r>
        <w:rPr>
          <w:rFonts w:hint="eastAsia" w:ascii="宋体" w:hAnsi="宋体"/>
          <w:b/>
          <w:color w:val="000000"/>
          <w:sz w:val="24"/>
        </w:rPr>
        <w:t>八、用户名单</w:t>
      </w:r>
    </w:p>
    <w:p>
      <w:pPr>
        <w:jc w:val="center"/>
        <w:rPr>
          <w:rFonts w:ascii="宋体" w:hAnsi="宋体" w:cs="宋体"/>
          <w:sz w:val="24"/>
        </w:rPr>
      </w:pPr>
      <w:r>
        <w:rPr>
          <w:rFonts w:hint="eastAsia" w:ascii="宋体" w:hAnsi="宋体" w:cs="宋体"/>
          <w:b/>
          <w:sz w:val="32"/>
          <w:szCs w:val="20"/>
        </w:rPr>
        <w:t>用户名单</w:t>
      </w:r>
    </w:p>
    <w:tbl>
      <w:tblPr>
        <w:tblStyle w:val="19"/>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pPr>
              <w:spacing w:line="360" w:lineRule="auto"/>
              <w:jc w:val="center"/>
              <w:rPr>
                <w:rFonts w:ascii="宋体" w:hAnsi="宋体"/>
                <w:sz w:val="24"/>
              </w:rPr>
            </w:pPr>
            <w:r>
              <w:rPr>
                <w:rFonts w:hint="eastAsia" w:ascii="宋体" w:hAnsi="宋体"/>
                <w:sz w:val="24"/>
              </w:rPr>
              <w:t>序号</w:t>
            </w:r>
          </w:p>
        </w:tc>
        <w:tc>
          <w:tcPr>
            <w:tcW w:w="2539" w:type="dxa"/>
          </w:tcPr>
          <w:p>
            <w:pPr>
              <w:spacing w:line="360" w:lineRule="auto"/>
              <w:jc w:val="center"/>
              <w:rPr>
                <w:rFonts w:ascii="宋体" w:hAnsi="宋体"/>
                <w:sz w:val="24"/>
              </w:rPr>
            </w:pPr>
            <w:r>
              <w:rPr>
                <w:rFonts w:hint="eastAsia" w:ascii="宋体" w:hAnsi="宋体"/>
                <w:sz w:val="24"/>
              </w:rPr>
              <w:t>用户名称</w:t>
            </w:r>
          </w:p>
        </w:tc>
        <w:tc>
          <w:tcPr>
            <w:tcW w:w="2335" w:type="dxa"/>
          </w:tcPr>
          <w:p>
            <w:pPr>
              <w:spacing w:line="360" w:lineRule="auto"/>
              <w:jc w:val="center"/>
              <w:rPr>
                <w:rFonts w:ascii="宋体" w:hAnsi="宋体"/>
                <w:sz w:val="24"/>
              </w:rPr>
            </w:pPr>
            <w:r>
              <w:rPr>
                <w:rFonts w:hint="eastAsia" w:ascii="宋体" w:hAnsi="宋体"/>
                <w:sz w:val="24"/>
              </w:rPr>
              <w:t>所属城市</w:t>
            </w:r>
          </w:p>
        </w:tc>
        <w:tc>
          <w:tcPr>
            <w:tcW w:w="1166" w:type="dxa"/>
          </w:tcPr>
          <w:p>
            <w:pPr>
              <w:spacing w:line="360" w:lineRule="auto"/>
              <w:jc w:val="center"/>
              <w:rPr>
                <w:rFonts w:ascii="宋体" w:hAnsi="宋体"/>
                <w:sz w:val="24"/>
              </w:rPr>
            </w:pPr>
            <w:r>
              <w:rPr>
                <w:rFonts w:hint="eastAsia" w:ascii="宋体" w:hAnsi="宋体"/>
                <w:sz w:val="24"/>
              </w:rPr>
              <w:t>数量</w:t>
            </w:r>
          </w:p>
        </w:tc>
        <w:tc>
          <w:tcPr>
            <w:tcW w:w="953" w:type="dxa"/>
          </w:tcPr>
          <w:p>
            <w:pPr>
              <w:spacing w:line="360" w:lineRule="auto"/>
              <w:jc w:val="center"/>
              <w:rPr>
                <w:rFonts w:ascii="宋体" w:hAnsi="宋体"/>
                <w:sz w:val="24"/>
              </w:rPr>
            </w:pPr>
            <w:r>
              <w:rPr>
                <w:rFonts w:hint="eastAsia" w:ascii="宋体" w:hAnsi="宋体"/>
                <w:sz w:val="24"/>
              </w:rPr>
              <w:t>联系人</w:t>
            </w:r>
          </w:p>
        </w:tc>
        <w:tc>
          <w:tcPr>
            <w:tcW w:w="1378" w:type="dxa"/>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r>
              <w:rPr>
                <w:rFonts w:hint="eastAsia" w:ascii="宋体" w:hAnsi="宋体"/>
              </w:rPr>
              <w:t>1</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2</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3</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ascii="宋体" w:hAnsi="宋体"/>
              </w:rPr>
              <w:t>…</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九、参选人认为需要补充的其他资料</w:t>
      </w:r>
    </w:p>
    <w:p>
      <w:pPr>
        <w:pStyle w:val="8"/>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Arial Unicode MS"/>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1"/>
  </w:num>
  <w:num w:numId="7">
    <w:abstractNumId w:val="10"/>
  </w:num>
  <w:num w:numId="8">
    <w:abstractNumId w:val="8"/>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673D3"/>
    <w:rsid w:val="00094E92"/>
    <w:rsid w:val="000D02C6"/>
    <w:rsid w:val="000D69AE"/>
    <w:rsid w:val="00164B26"/>
    <w:rsid w:val="001B19F3"/>
    <w:rsid w:val="00214919"/>
    <w:rsid w:val="00265C46"/>
    <w:rsid w:val="002B3AA2"/>
    <w:rsid w:val="002B577C"/>
    <w:rsid w:val="00315BDC"/>
    <w:rsid w:val="00370B05"/>
    <w:rsid w:val="00386F46"/>
    <w:rsid w:val="004175EE"/>
    <w:rsid w:val="004455D6"/>
    <w:rsid w:val="004C30ED"/>
    <w:rsid w:val="005D5888"/>
    <w:rsid w:val="00632971"/>
    <w:rsid w:val="006F02F9"/>
    <w:rsid w:val="007767C7"/>
    <w:rsid w:val="0086563F"/>
    <w:rsid w:val="00871A3B"/>
    <w:rsid w:val="008A5317"/>
    <w:rsid w:val="008C174C"/>
    <w:rsid w:val="00946B48"/>
    <w:rsid w:val="009E0B8F"/>
    <w:rsid w:val="00AC7C38"/>
    <w:rsid w:val="00BA1CCD"/>
    <w:rsid w:val="00BA332B"/>
    <w:rsid w:val="00C13E2C"/>
    <w:rsid w:val="00CE1FB9"/>
    <w:rsid w:val="00D12A66"/>
    <w:rsid w:val="00D400A1"/>
    <w:rsid w:val="00D85B82"/>
    <w:rsid w:val="00DC33FD"/>
    <w:rsid w:val="00E40655"/>
    <w:rsid w:val="00EB64D2"/>
    <w:rsid w:val="00EC0807"/>
    <w:rsid w:val="00EF3F06"/>
    <w:rsid w:val="00F94D09"/>
    <w:rsid w:val="02C36880"/>
    <w:rsid w:val="0357066F"/>
    <w:rsid w:val="04576B97"/>
    <w:rsid w:val="056C2D54"/>
    <w:rsid w:val="05BE3ADF"/>
    <w:rsid w:val="06A71963"/>
    <w:rsid w:val="06F07A04"/>
    <w:rsid w:val="076435C3"/>
    <w:rsid w:val="07CC3CE5"/>
    <w:rsid w:val="07FC03D1"/>
    <w:rsid w:val="07FF5C5B"/>
    <w:rsid w:val="08545960"/>
    <w:rsid w:val="085A7398"/>
    <w:rsid w:val="09470CDB"/>
    <w:rsid w:val="094C4865"/>
    <w:rsid w:val="09746C78"/>
    <w:rsid w:val="0A927532"/>
    <w:rsid w:val="0B1B516B"/>
    <w:rsid w:val="0BA67A2B"/>
    <w:rsid w:val="0CA93B2B"/>
    <w:rsid w:val="0D6D61B7"/>
    <w:rsid w:val="0D6F2978"/>
    <w:rsid w:val="0D822BDD"/>
    <w:rsid w:val="0DF728DE"/>
    <w:rsid w:val="0FA0712C"/>
    <w:rsid w:val="0FE80FB7"/>
    <w:rsid w:val="0FEE35BB"/>
    <w:rsid w:val="1036655B"/>
    <w:rsid w:val="104F1B5C"/>
    <w:rsid w:val="1137400B"/>
    <w:rsid w:val="1182692A"/>
    <w:rsid w:val="1197156E"/>
    <w:rsid w:val="12647C70"/>
    <w:rsid w:val="149E3943"/>
    <w:rsid w:val="153B5BB0"/>
    <w:rsid w:val="15931E04"/>
    <w:rsid w:val="167D3F07"/>
    <w:rsid w:val="176364BB"/>
    <w:rsid w:val="17807FD2"/>
    <w:rsid w:val="17DB3911"/>
    <w:rsid w:val="18995C87"/>
    <w:rsid w:val="18E65BE6"/>
    <w:rsid w:val="19AF0388"/>
    <w:rsid w:val="1AB13813"/>
    <w:rsid w:val="1AE86D22"/>
    <w:rsid w:val="1B2858DB"/>
    <w:rsid w:val="1B812479"/>
    <w:rsid w:val="1B994D2B"/>
    <w:rsid w:val="1CA73DFC"/>
    <w:rsid w:val="1CEA7032"/>
    <w:rsid w:val="1D880F0B"/>
    <w:rsid w:val="1DDE59E8"/>
    <w:rsid w:val="1DF82BF7"/>
    <w:rsid w:val="1E322D19"/>
    <w:rsid w:val="1F9667C1"/>
    <w:rsid w:val="1FD066AB"/>
    <w:rsid w:val="207756F7"/>
    <w:rsid w:val="20DC0F2D"/>
    <w:rsid w:val="21AD19D1"/>
    <w:rsid w:val="21DD027E"/>
    <w:rsid w:val="22355A45"/>
    <w:rsid w:val="224D1A14"/>
    <w:rsid w:val="230830A7"/>
    <w:rsid w:val="237A0AA5"/>
    <w:rsid w:val="23B337CB"/>
    <w:rsid w:val="23B85BEF"/>
    <w:rsid w:val="245C312A"/>
    <w:rsid w:val="25315A4D"/>
    <w:rsid w:val="2589395B"/>
    <w:rsid w:val="25BA624A"/>
    <w:rsid w:val="25BD6C34"/>
    <w:rsid w:val="26312F73"/>
    <w:rsid w:val="264A077C"/>
    <w:rsid w:val="26BA3B66"/>
    <w:rsid w:val="283D6944"/>
    <w:rsid w:val="28AA0CAA"/>
    <w:rsid w:val="28C52BC1"/>
    <w:rsid w:val="291D0ED5"/>
    <w:rsid w:val="295C3095"/>
    <w:rsid w:val="2A922D59"/>
    <w:rsid w:val="2ACE4EA1"/>
    <w:rsid w:val="2B2506EF"/>
    <w:rsid w:val="2B713EB1"/>
    <w:rsid w:val="2C255DEC"/>
    <w:rsid w:val="2C7A2EB0"/>
    <w:rsid w:val="2D3A49C6"/>
    <w:rsid w:val="2DA635AA"/>
    <w:rsid w:val="2DD973F2"/>
    <w:rsid w:val="2DFD3557"/>
    <w:rsid w:val="2E2456A8"/>
    <w:rsid w:val="2E254C7B"/>
    <w:rsid w:val="2E2B75C3"/>
    <w:rsid w:val="2FC54136"/>
    <w:rsid w:val="2FEB22E8"/>
    <w:rsid w:val="302A70C9"/>
    <w:rsid w:val="3040652C"/>
    <w:rsid w:val="31501BF3"/>
    <w:rsid w:val="316E4C5B"/>
    <w:rsid w:val="32BB4705"/>
    <w:rsid w:val="33592BC3"/>
    <w:rsid w:val="339D306F"/>
    <w:rsid w:val="34A667EE"/>
    <w:rsid w:val="35253430"/>
    <w:rsid w:val="35317857"/>
    <w:rsid w:val="354A2CD2"/>
    <w:rsid w:val="35856C1E"/>
    <w:rsid w:val="358E544C"/>
    <w:rsid w:val="378515A4"/>
    <w:rsid w:val="37DF69EA"/>
    <w:rsid w:val="3C063146"/>
    <w:rsid w:val="3C4147DF"/>
    <w:rsid w:val="3EA96684"/>
    <w:rsid w:val="3EE169D7"/>
    <w:rsid w:val="3FA446BC"/>
    <w:rsid w:val="3FDC4CB6"/>
    <w:rsid w:val="3FF55287"/>
    <w:rsid w:val="403F1AA1"/>
    <w:rsid w:val="4073414D"/>
    <w:rsid w:val="40B00C52"/>
    <w:rsid w:val="40C91709"/>
    <w:rsid w:val="40EE167A"/>
    <w:rsid w:val="410D1E93"/>
    <w:rsid w:val="412033D2"/>
    <w:rsid w:val="41326E0A"/>
    <w:rsid w:val="425451CC"/>
    <w:rsid w:val="426559F5"/>
    <w:rsid w:val="42AF15FA"/>
    <w:rsid w:val="42B5097B"/>
    <w:rsid w:val="430570B0"/>
    <w:rsid w:val="43261ABD"/>
    <w:rsid w:val="444701FD"/>
    <w:rsid w:val="446A3B24"/>
    <w:rsid w:val="4524248D"/>
    <w:rsid w:val="454229EF"/>
    <w:rsid w:val="456C6563"/>
    <w:rsid w:val="45FD5C23"/>
    <w:rsid w:val="47255E31"/>
    <w:rsid w:val="48352241"/>
    <w:rsid w:val="4841120B"/>
    <w:rsid w:val="48543680"/>
    <w:rsid w:val="490B3CA7"/>
    <w:rsid w:val="495C1F18"/>
    <w:rsid w:val="496019FC"/>
    <w:rsid w:val="49645CF0"/>
    <w:rsid w:val="4AAC1378"/>
    <w:rsid w:val="4ADD28AB"/>
    <w:rsid w:val="4B1B1618"/>
    <w:rsid w:val="4C120A11"/>
    <w:rsid w:val="4C427FD1"/>
    <w:rsid w:val="4D996DCE"/>
    <w:rsid w:val="4E561D53"/>
    <w:rsid w:val="4FF84097"/>
    <w:rsid w:val="502865F4"/>
    <w:rsid w:val="506131F5"/>
    <w:rsid w:val="514629BB"/>
    <w:rsid w:val="51D81616"/>
    <w:rsid w:val="535C1F33"/>
    <w:rsid w:val="53CE5498"/>
    <w:rsid w:val="558450FF"/>
    <w:rsid w:val="576A6288"/>
    <w:rsid w:val="57C22C9A"/>
    <w:rsid w:val="57DFA24C"/>
    <w:rsid w:val="588F6778"/>
    <w:rsid w:val="59865AA9"/>
    <w:rsid w:val="5A226281"/>
    <w:rsid w:val="5A53765C"/>
    <w:rsid w:val="5B8D0F7C"/>
    <w:rsid w:val="5BA179EA"/>
    <w:rsid w:val="5C1E451F"/>
    <w:rsid w:val="5C8F0619"/>
    <w:rsid w:val="5C985CD0"/>
    <w:rsid w:val="5CC67532"/>
    <w:rsid w:val="5D7307B3"/>
    <w:rsid w:val="5DA899B4"/>
    <w:rsid w:val="5DCD6B5C"/>
    <w:rsid w:val="5E0073C6"/>
    <w:rsid w:val="5E0F7E5F"/>
    <w:rsid w:val="5E2A68F7"/>
    <w:rsid w:val="5EE6064C"/>
    <w:rsid w:val="5F366169"/>
    <w:rsid w:val="5F921471"/>
    <w:rsid w:val="5F93049A"/>
    <w:rsid w:val="5FAC5FBA"/>
    <w:rsid w:val="5FB65CCC"/>
    <w:rsid w:val="60172137"/>
    <w:rsid w:val="60E95450"/>
    <w:rsid w:val="611A7247"/>
    <w:rsid w:val="61714136"/>
    <w:rsid w:val="61DE4C7B"/>
    <w:rsid w:val="62886432"/>
    <w:rsid w:val="63D80E82"/>
    <w:rsid w:val="64546448"/>
    <w:rsid w:val="65454341"/>
    <w:rsid w:val="654B35BF"/>
    <w:rsid w:val="65C50B86"/>
    <w:rsid w:val="662B5E65"/>
    <w:rsid w:val="67404C39"/>
    <w:rsid w:val="689D4DD4"/>
    <w:rsid w:val="697417E4"/>
    <w:rsid w:val="6A477CA2"/>
    <w:rsid w:val="6AF7142B"/>
    <w:rsid w:val="6B2F17DE"/>
    <w:rsid w:val="6B515720"/>
    <w:rsid w:val="6B764EF7"/>
    <w:rsid w:val="6C0E74B9"/>
    <w:rsid w:val="6C333ED7"/>
    <w:rsid w:val="6CAB169B"/>
    <w:rsid w:val="6CB91B00"/>
    <w:rsid w:val="6CCA7B1A"/>
    <w:rsid w:val="6D9545B2"/>
    <w:rsid w:val="6E871F5F"/>
    <w:rsid w:val="6E986F77"/>
    <w:rsid w:val="6EAD0B99"/>
    <w:rsid w:val="6EEA4675"/>
    <w:rsid w:val="6EED3858"/>
    <w:rsid w:val="6F5B1F5C"/>
    <w:rsid w:val="6F741DC3"/>
    <w:rsid w:val="71463E8D"/>
    <w:rsid w:val="715A3434"/>
    <w:rsid w:val="73B93F84"/>
    <w:rsid w:val="73E84D22"/>
    <w:rsid w:val="747223BE"/>
    <w:rsid w:val="74977C4C"/>
    <w:rsid w:val="76011C6B"/>
    <w:rsid w:val="762765CE"/>
    <w:rsid w:val="775A7EA8"/>
    <w:rsid w:val="77CE2688"/>
    <w:rsid w:val="77E83CDB"/>
    <w:rsid w:val="78B45ADC"/>
    <w:rsid w:val="78D93A8B"/>
    <w:rsid w:val="7909514F"/>
    <w:rsid w:val="793D76D4"/>
    <w:rsid w:val="797A18E5"/>
    <w:rsid w:val="79A9110D"/>
    <w:rsid w:val="79BE871F"/>
    <w:rsid w:val="79EA1EFB"/>
    <w:rsid w:val="7A34105D"/>
    <w:rsid w:val="7A3E764E"/>
    <w:rsid w:val="7A9146D3"/>
    <w:rsid w:val="7B904B1F"/>
    <w:rsid w:val="7BE46252"/>
    <w:rsid w:val="7BEE322B"/>
    <w:rsid w:val="7CD96D8E"/>
    <w:rsid w:val="7D231939"/>
    <w:rsid w:val="7D635FF2"/>
    <w:rsid w:val="7E1A0A9A"/>
    <w:rsid w:val="7F770D88"/>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annotation text"/>
    <w:basedOn w:val="1"/>
    <w:link w:val="36"/>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line="360" w:lineRule="auto"/>
      <w:ind w:left="420" w:firstLine="420"/>
    </w:pPr>
    <w:rPr>
      <w:rFonts w:ascii="宋体" w:hAnsi="宋体"/>
      <w:sz w:val="24"/>
      <w:shd w:val="pct10" w:color="auto" w:fill="FFFFFF"/>
    </w:rPr>
  </w:style>
  <w:style w:type="paragraph" w:styleId="10">
    <w:name w:val="index 4"/>
    <w:basedOn w:val="1"/>
    <w:next w:val="1"/>
    <w:unhideWhenUsed/>
    <w:qFormat/>
    <w:uiPriority w:val="99"/>
    <w:pPr>
      <w:ind w:left="600" w:leftChars="600"/>
    </w:pPr>
  </w:style>
  <w:style w:type="paragraph" w:styleId="11">
    <w:name w:val="Balloon Text"/>
    <w:basedOn w:val="1"/>
    <w:link w:val="32"/>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jc w:val="center"/>
    </w:pPr>
    <w:rPr>
      <w:rFonts w:ascii="楷体_GB2312" w:eastAsia="楷体_GB2312"/>
      <w:b/>
      <w:sz w:val="72"/>
      <w:szCs w:val="20"/>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7"/>
    <w:next w:val="7"/>
    <w:link w:val="37"/>
    <w:qFormat/>
    <w:uiPriority w:val="0"/>
    <w:rPr>
      <w:b/>
      <w:bCs/>
    </w:rPr>
  </w:style>
  <w:style w:type="paragraph" w:styleId="17">
    <w:name w:val="Body Text First Indent"/>
    <w:basedOn w:val="8"/>
    <w:unhideWhenUsed/>
    <w:qFormat/>
    <w:uiPriority w:val="99"/>
    <w:pPr>
      <w:ind w:firstLine="420" w:firstLineChars="100"/>
    </w:pPr>
  </w:style>
  <w:style w:type="paragraph" w:styleId="18">
    <w:name w:val="Body Text First Indent 2"/>
    <w:basedOn w:val="9"/>
    <w:unhideWhenUsed/>
    <w:qFormat/>
    <w:uiPriority w:val="99"/>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FollowedHyperlink"/>
    <w:basedOn w:val="21"/>
    <w:qFormat/>
    <w:uiPriority w:val="0"/>
    <w:rPr>
      <w:color w:val="800080"/>
      <w:u w:val="single"/>
    </w:rPr>
  </w:style>
  <w:style w:type="character" w:styleId="24">
    <w:name w:val="Hyperlink"/>
    <w:basedOn w:val="21"/>
    <w:unhideWhenUsed/>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首行缩进"/>
    <w:basedOn w:val="1"/>
    <w:qFormat/>
    <w:uiPriority w:val="0"/>
    <w:pPr>
      <w:ind w:firstLine="480"/>
    </w:pPr>
    <w:rPr>
      <w:rFonts w:ascii="Calibri" w:hAnsi="Calibri"/>
      <w:lang w:val="zh-CN"/>
    </w:rPr>
  </w:style>
  <w:style w:type="paragraph" w:customStyle="1" w:styleId="27">
    <w:name w:val="ITB-0"/>
    <w:basedOn w:val="1"/>
    <w:qFormat/>
    <w:uiPriority w:val="0"/>
    <w:pPr>
      <w:adjustRightInd w:val="0"/>
      <w:jc w:val="center"/>
    </w:pPr>
    <w:rPr>
      <w:b/>
      <w:sz w:val="32"/>
      <w:szCs w:val="20"/>
    </w:rPr>
  </w:style>
  <w:style w:type="paragraph" w:customStyle="1" w:styleId="28">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列出段落1"/>
    <w:basedOn w:val="1"/>
    <w:qFormat/>
    <w:uiPriority w:val="0"/>
    <w:pPr>
      <w:ind w:firstLine="420" w:firstLineChars="200"/>
    </w:pPr>
    <w:rPr>
      <w:rFonts w:ascii="Calibri" w:hAnsi="Calibri"/>
      <w:szCs w:val="22"/>
    </w:rPr>
  </w:style>
  <w:style w:type="paragraph" w:customStyle="1" w:styleId="31">
    <w:name w:val="att"/>
    <w:basedOn w:val="1"/>
    <w:qFormat/>
    <w:uiPriority w:val="0"/>
    <w:pPr>
      <w:spacing w:line="360" w:lineRule="auto"/>
    </w:pPr>
    <w:rPr>
      <w:rFonts w:eastAsia="楷体_GB2312"/>
      <w:sz w:val="24"/>
      <w:szCs w:val="20"/>
    </w:rPr>
  </w:style>
  <w:style w:type="character" w:customStyle="1" w:styleId="32">
    <w:name w:val="批注框文本 字符"/>
    <w:basedOn w:val="21"/>
    <w:link w:val="11"/>
    <w:qFormat/>
    <w:uiPriority w:val="0"/>
    <w:rPr>
      <w:kern w:val="2"/>
      <w:sz w:val="18"/>
      <w:szCs w:val="18"/>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fontstyle01"/>
    <w:basedOn w:val="21"/>
    <w:qFormat/>
    <w:uiPriority w:val="0"/>
    <w:rPr>
      <w:rFonts w:hint="default" w:ascii="FZFSK--GBK1-0" w:hAnsi="FZFSK--GBK1-0"/>
      <w:color w:val="333333"/>
      <w:sz w:val="24"/>
      <w:szCs w:val="24"/>
    </w:rPr>
  </w:style>
  <w:style w:type="character" w:customStyle="1" w:styleId="36">
    <w:name w:val="批注文字 字符"/>
    <w:basedOn w:val="21"/>
    <w:link w:val="7"/>
    <w:qFormat/>
    <w:uiPriority w:val="0"/>
    <w:rPr>
      <w:kern w:val="2"/>
      <w:sz w:val="21"/>
      <w:szCs w:val="24"/>
    </w:rPr>
  </w:style>
  <w:style w:type="character" w:customStyle="1" w:styleId="37">
    <w:name w:val="批注主题 字符"/>
    <w:basedOn w:val="36"/>
    <w:link w:val="1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4886</Words>
  <Characters>5658</Characters>
  <Lines>50</Lines>
  <Paragraphs>14</Paragraphs>
  <TotalTime>8</TotalTime>
  <ScaleCrop>false</ScaleCrop>
  <LinksUpToDate>false</LinksUpToDate>
  <CharactersWithSpaces>6294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2023-01-20T12:46:00Z</dcterms:created>
  <dc:creator>user</dc:creator>
  <cp:lastModifiedBy>user</cp:lastModifiedBy>
  <dcterms:modified xsi:type="dcterms:W3CDTF">2023-11-03T03:32:03Z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948C9E9221F4482292AEA7355DE23444</vt:lpwstr>
  </property>
</Properties>
</file>