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宋体" w:hAnsi="宋体" w:eastAsia="宋体" w:cs="宋体"/>
          <w:sz w:val="60"/>
          <w:szCs w:val="60"/>
        </w:rPr>
      </w:pPr>
      <w:r>
        <w:rPr>
          <w:rFonts w:hint="eastAsia" w:ascii="宋体" w:hAnsi="宋体" w:eastAsia="宋体" w:cs="宋体"/>
          <w:sz w:val="60"/>
          <w:szCs w:val="60"/>
        </w:rPr>
        <w:t>上海市儿童医院</w:t>
      </w:r>
    </w:p>
    <w:p>
      <w:pPr>
        <w:pStyle w:val="10"/>
        <w:rPr>
          <w:rFonts w:hint="eastAsia" w:ascii="宋体" w:hAnsi="宋体" w:eastAsia="宋体" w:cs="宋体"/>
          <w:sz w:val="60"/>
          <w:szCs w:val="60"/>
        </w:rPr>
      </w:pPr>
    </w:p>
    <w:p>
      <w:pPr>
        <w:pStyle w:val="10"/>
        <w:rPr>
          <w:rFonts w:hint="eastAsia" w:ascii="宋体" w:hAnsi="宋体" w:eastAsia="宋体" w:cs="宋体"/>
          <w:sz w:val="60"/>
          <w:szCs w:val="60"/>
        </w:rPr>
      </w:pPr>
    </w:p>
    <w:p>
      <w:pPr>
        <w:pStyle w:val="10"/>
        <w:rPr>
          <w:rFonts w:hint="eastAsia" w:ascii="宋体" w:hAnsi="宋体" w:eastAsia="宋体" w:cs="宋体"/>
          <w:sz w:val="60"/>
          <w:szCs w:val="60"/>
        </w:rPr>
      </w:pPr>
      <w:r>
        <w:rPr>
          <w:rFonts w:hint="eastAsia" w:ascii="宋体" w:hAnsi="宋体" w:eastAsia="宋体" w:cs="宋体"/>
          <w:sz w:val="60"/>
          <w:szCs w:val="60"/>
          <w:lang w:eastAsia="zh-CN"/>
        </w:rPr>
        <w:t>EBER探针（手工）</w:t>
      </w:r>
      <w:r>
        <w:rPr>
          <w:rFonts w:hint="eastAsia" w:ascii="宋体" w:hAnsi="宋体" w:eastAsia="宋体" w:cs="宋体"/>
          <w:sz w:val="60"/>
          <w:szCs w:val="60"/>
        </w:rPr>
        <w:t>项目</w:t>
      </w:r>
    </w:p>
    <w:p>
      <w:pPr>
        <w:pStyle w:val="10"/>
        <w:rPr>
          <w:rFonts w:hint="eastAsia" w:ascii="宋体" w:hAnsi="宋体" w:eastAsia="宋体" w:cs="宋体"/>
          <w:sz w:val="60"/>
          <w:szCs w:val="60"/>
        </w:rPr>
      </w:pPr>
    </w:p>
    <w:p>
      <w:pPr>
        <w:pStyle w:val="10"/>
        <w:rPr>
          <w:rFonts w:hint="eastAsia" w:ascii="宋体" w:hAnsi="宋体" w:eastAsia="宋体" w:cs="宋体"/>
          <w:sz w:val="36"/>
        </w:rPr>
      </w:pPr>
      <w:r>
        <w:rPr>
          <w:rFonts w:hint="eastAsia" w:ascii="宋体" w:hAnsi="宋体" w:eastAsia="宋体" w:cs="宋体"/>
          <w:sz w:val="60"/>
          <w:szCs w:val="60"/>
        </w:rPr>
        <w:t>遴选文件</w:t>
      </w:r>
    </w:p>
    <w:p>
      <w:pPr>
        <w:pStyle w:val="2"/>
        <w:ind w:firstLine="360"/>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default" w:ascii="宋体" w:hAnsi="宋体" w:eastAsia="宋体" w:cs="宋体"/>
          <w:b/>
          <w:sz w:val="36"/>
          <w:szCs w:val="20"/>
          <w:lang w:val="en-US" w:eastAsia="zh-CN"/>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编号：2023-ETLX</w:t>
      </w:r>
      <w:r>
        <w:rPr>
          <w:rFonts w:hint="eastAsia" w:ascii="宋体" w:hAnsi="宋体" w:eastAsia="宋体" w:cs="宋体"/>
          <w:b/>
          <w:sz w:val="36"/>
          <w:szCs w:val="20"/>
          <w:lang w:val="en-US" w:eastAsia="zh-CN"/>
        </w:rPr>
        <w:t>SJ</w:t>
      </w:r>
      <w:r>
        <w:rPr>
          <w:rFonts w:hint="eastAsia" w:ascii="宋体" w:hAnsi="宋体" w:eastAsia="宋体" w:cs="宋体"/>
          <w:b/>
          <w:sz w:val="36"/>
          <w:szCs w:val="20"/>
        </w:rPr>
        <w:t>-00</w:t>
      </w:r>
      <w:r>
        <w:rPr>
          <w:rFonts w:hint="eastAsia" w:ascii="宋体" w:hAnsi="宋体" w:eastAsia="宋体" w:cs="宋体"/>
          <w:b/>
          <w:sz w:val="36"/>
          <w:szCs w:val="20"/>
          <w:lang w:val="en-US" w:eastAsia="zh-CN"/>
        </w:rPr>
        <w:t>6</w:t>
      </w:r>
    </w:p>
    <w:p>
      <w:pPr>
        <w:pStyle w:val="10"/>
        <w:rPr>
          <w:rFonts w:ascii="华文仿宋" w:hAnsi="华文仿宋" w:eastAsia="华文仿宋" w:cs="华文仿宋"/>
          <w:sz w:val="36"/>
        </w:rPr>
      </w:pPr>
    </w:p>
    <w:p>
      <w:pPr>
        <w:pStyle w:val="10"/>
        <w:rPr>
          <w:rFonts w:ascii="华文仿宋" w:hAnsi="华文仿宋" w:eastAsia="华文仿宋" w:cs="华文仿宋"/>
          <w:sz w:val="36"/>
        </w:rPr>
      </w:pPr>
    </w:p>
    <w:p>
      <w:pPr>
        <w:keepNext w:val="0"/>
        <w:keepLines w:val="0"/>
        <w:widowControl/>
        <w:suppressLineNumbers w:val="0"/>
        <w:jc w:val="center"/>
        <w:rPr>
          <w:rFonts w:ascii="inherit" w:hAnsi="inherit" w:eastAsia="微软雅黑" w:cs="宋体"/>
          <w:kern w:val="36"/>
          <w:sz w:val="28"/>
          <w:szCs w:val="28"/>
        </w:rPr>
        <w:sectPr>
          <w:pgSz w:w="11906" w:h="16838"/>
          <w:pgMar w:top="1440" w:right="1304" w:bottom="1440" w:left="1304" w:header="851" w:footer="992" w:gutter="0"/>
          <w:pgNumType w:start="0"/>
          <w:cols w:space="720" w:num="1"/>
          <w:titlePg/>
          <w:docGrid w:type="linesAndChars" w:linePitch="312" w:charSpace="0"/>
        </w:sectPr>
      </w:pPr>
    </w:p>
    <w:p>
      <w:pPr>
        <w:keepNext w:val="0"/>
        <w:keepLines w:val="0"/>
        <w:pageBreakBefore w:val="0"/>
        <w:widowControl/>
        <w:numPr>
          <w:ilvl w:val="0"/>
          <w:numId w:val="0"/>
        </w:numPr>
        <w:kinsoku/>
        <w:overflowPunct/>
        <w:topLinePunct w:val="0"/>
        <w:autoSpaceDE/>
        <w:autoSpaceDN/>
        <w:bidi w:val="0"/>
        <w:adjustRightInd/>
        <w:snapToGrid/>
        <w:spacing w:before="168" w:after="168" w:line="500" w:lineRule="exact"/>
        <w:jc w:val="center"/>
        <w:textAlignment w:val="auto"/>
        <w:rPr>
          <w:rFonts w:hint="eastAsia" w:ascii="华文仿宋" w:hAnsi="华文仿宋" w:cs="华文仿宋"/>
        </w:rPr>
      </w:pPr>
      <w:r>
        <w:rPr>
          <w:rFonts w:hint="eastAsia" w:ascii="华文仿宋" w:hAnsi="华文仿宋" w:cs="华文仿宋"/>
          <w:sz w:val="36"/>
          <w:szCs w:val="36"/>
          <w:lang w:val="en-US" w:eastAsia="zh-CN"/>
        </w:rPr>
        <w:t xml:space="preserve">第一章   </w:t>
      </w:r>
      <w:r>
        <w:rPr>
          <w:rFonts w:hint="eastAsia" w:ascii="华文仿宋" w:hAnsi="华文仿宋" w:cs="华文仿宋"/>
          <w:sz w:val="36"/>
          <w:szCs w:val="36"/>
        </w:rPr>
        <w:t>遴选邀请</w:t>
      </w:r>
    </w:p>
    <w:p>
      <w:pPr>
        <w:pStyle w:val="29"/>
        <w:numPr>
          <w:ilvl w:val="0"/>
          <w:numId w:val="0"/>
        </w:numPr>
        <w:autoSpaceDE w:val="0"/>
        <w:autoSpaceDN w:val="0"/>
        <w:spacing w:line="360" w:lineRule="exact"/>
        <w:ind w:leftChars="0" w:firstLine="480" w:firstLineChars="200"/>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keepNext w:val="0"/>
        <w:keepLines w:val="0"/>
        <w:pageBreakBefore w:val="0"/>
        <w:widowControl/>
        <w:numPr>
          <w:ilvl w:val="0"/>
          <w:numId w:val="1"/>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rPr>
        <w:t>项目</w:t>
      </w:r>
      <w:r>
        <w:rPr>
          <w:rFonts w:hint="eastAsia" w:ascii="宋体" w:hAnsi="宋体" w:eastAsia="宋体" w:cs="宋体"/>
          <w:b/>
          <w:bCs/>
          <w:color w:val="000000"/>
          <w:kern w:val="0"/>
          <w:sz w:val="24"/>
          <w:szCs w:val="24"/>
          <w:lang w:val="en-US" w:eastAsia="zh-CN"/>
        </w:rPr>
        <w:t>概况</w:t>
      </w:r>
      <w:r>
        <w:rPr>
          <w:rFonts w:hint="eastAsia" w:ascii="宋体" w:hAnsi="宋体" w:eastAsia="宋体" w:cs="宋体"/>
          <w:b/>
          <w:bCs/>
          <w:color w:val="000000"/>
          <w:kern w:val="0"/>
          <w:sz w:val="24"/>
          <w:szCs w:val="24"/>
        </w:rPr>
        <w:t>：</w:t>
      </w:r>
    </w:p>
    <w:p>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kern w:val="0"/>
          <w:sz w:val="24"/>
          <w:szCs w:val="24"/>
        </w:rPr>
        <w:t>1、项目名称：</w:t>
      </w:r>
      <w:r>
        <w:rPr>
          <w:rFonts w:hint="eastAsia" w:ascii="宋体" w:hAnsi="宋体" w:eastAsia="宋体" w:cs="宋体"/>
          <w:kern w:val="0"/>
          <w:sz w:val="24"/>
          <w:szCs w:val="24"/>
          <w:lang w:val="en-US" w:eastAsia="zh-CN"/>
        </w:rPr>
        <w:t>EBER探针（手工）；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shd w:val="clear" w:color="auto" w:fill="F7F7F7"/>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编号：</w:t>
      </w:r>
      <w:r>
        <w:rPr>
          <w:rFonts w:hint="eastAsia" w:ascii="宋体" w:hAnsi="宋体" w:eastAsia="宋体" w:cs="宋体"/>
          <w:color w:val="000000"/>
          <w:kern w:val="0"/>
          <w:sz w:val="24"/>
          <w:szCs w:val="24"/>
          <w:lang w:eastAsia="zh-CN"/>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-ETLX</w:t>
      </w:r>
      <w:r>
        <w:rPr>
          <w:rFonts w:hint="eastAsia" w:ascii="宋体" w:hAnsi="宋体" w:eastAsia="宋体" w:cs="宋体"/>
          <w:color w:val="000000"/>
          <w:kern w:val="0"/>
          <w:sz w:val="24"/>
          <w:szCs w:val="24"/>
          <w:lang w:val="en-US" w:eastAsia="zh-CN"/>
        </w:rPr>
        <w:t>SJ</w:t>
      </w:r>
      <w:r>
        <w:rPr>
          <w:rFonts w:hint="eastAsia" w:ascii="宋体" w:hAnsi="宋体" w:eastAsia="宋体" w:cs="宋体"/>
          <w:color w:val="000000"/>
          <w:kern w:val="0"/>
          <w:sz w:val="24"/>
          <w:szCs w:val="24"/>
          <w:lang w:eastAsia="zh-CN"/>
        </w:rPr>
        <w:t>-00</w:t>
      </w:r>
      <w:r>
        <w:rPr>
          <w:rFonts w:hint="eastAsia" w:ascii="宋体" w:hAnsi="宋体" w:eastAsia="宋体" w:cs="宋体"/>
          <w:color w:val="000000"/>
          <w:kern w:val="0"/>
          <w:sz w:val="24"/>
          <w:szCs w:val="24"/>
          <w:lang w:val="en-US" w:eastAsia="zh-CN"/>
        </w:rPr>
        <w:t>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highlight w:val="none"/>
        </w:rPr>
        <w:t>、</w:t>
      </w:r>
      <w:bookmarkStart w:id="0" w:name="PO_项目内容数量及要求29"/>
      <w:r>
        <w:rPr>
          <w:rFonts w:hint="eastAsia" w:ascii="宋体" w:hAnsi="宋体" w:eastAsia="宋体" w:cs="宋体"/>
          <w:kern w:val="0"/>
          <w:sz w:val="24"/>
          <w:szCs w:val="24"/>
          <w:highlight w:val="none"/>
        </w:rPr>
        <w:t>预估年使用量：</w:t>
      </w:r>
      <w:bookmarkEnd w:id="0"/>
      <w:r>
        <w:rPr>
          <w:rFonts w:hint="eastAsia" w:ascii="宋体" w:hAnsi="宋体" w:eastAsia="宋体" w:cs="宋体"/>
          <w:kern w:val="0"/>
          <w:sz w:val="24"/>
          <w:szCs w:val="24"/>
          <w:highlight w:val="none"/>
          <w:lang w:val="en-US" w:eastAsia="zh-CN"/>
        </w:rPr>
        <w:t>500</w:t>
      </w:r>
      <w:r>
        <w:rPr>
          <w:rFonts w:hint="eastAsia" w:ascii="宋体" w:hAnsi="宋体" w:cs="宋体"/>
          <w:color w:val="000000"/>
          <w:kern w:val="0"/>
          <w:sz w:val="24"/>
          <w:szCs w:val="24"/>
          <w:highlight w:val="none"/>
          <w:lang w:val="en-US" w:eastAsia="zh-CN" w:bidi="ar"/>
        </w:rPr>
        <w:t>检测/年</w:t>
      </w:r>
      <w:r>
        <w:rPr>
          <w:rFonts w:hint="eastAsia" w:ascii="宋体" w:hAnsi="宋体" w:eastAsia="宋体" w:cs="宋体"/>
          <w:kern w:val="0"/>
          <w:sz w:val="24"/>
          <w:szCs w:val="24"/>
          <w:highlight w:val="none"/>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供应期限：</w:t>
      </w:r>
      <w:r>
        <w:rPr>
          <w:rFonts w:hint="eastAsia" w:ascii="宋体" w:hAnsi="宋体" w:eastAsia="宋体" w:cs="宋体"/>
          <w:kern w:val="0"/>
          <w:sz w:val="24"/>
          <w:szCs w:val="24"/>
          <w:lang w:val="en-US" w:eastAsia="zh-CN"/>
        </w:rPr>
        <w:t>3年</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、付款周期：对账后3个月</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、交付地址：</w:t>
      </w:r>
      <w:bookmarkStart w:id="1" w:name="PO_交付地址29"/>
      <w:r>
        <w:rPr>
          <w:rFonts w:hint="eastAsia" w:ascii="宋体" w:hAnsi="宋体" w:eastAsia="宋体" w:cs="宋体"/>
          <w:kern w:val="0"/>
          <w:sz w:val="24"/>
          <w:szCs w:val="24"/>
        </w:rPr>
        <w:t>采购人指定</w:t>
      </w:r>
      <w:bookmarkEnd w:id="1"/>
      <w:r>
        <w:rPr>
          <w:rFonts w:hint="eastAsia" w:ascii="宋体" w:hAnsi="宋体" w:eastAsia="宋体" w:cs="宋体"/>
          <w:kern w:val="0"/>
          <w:sz w:val="24"/>
          <w:szCs w:val="24"/>
          <w:lang w:val="en-US" w:eastAsia="zh-CN"/>
        </w:rPr>
        <w:t>地点；</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、交付日期：</w:t>
      </w:r>
      <w:bookmarkStart w:id="2" w:name="PO_交付日期29"/>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bookmarkEnd w:id="2"/>
      <w:r>
        <w:rPr>
          <w:rFonts w:hint="eastAsia" w:ascii="宋体" w:hAnsi="宋体" w:eastAsia="宋体" w:cs="宋体"/>
          <w:i w:val="0"/>
          <w:iCs w:val="0"/>
          <w:color w:val="000000"/>
          <w:kern w:val="0"/>
          <w:sz w:val="24"/>
          <w:szCs w:val="24"/>
          <w:u w:val="none"/>
          <w:lang w:val="en-US" w:eastAsia="zh-CN" w:bidi="ar"/>
        </w:rPr>
        <w:t>。</w:t>
      </w: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二、投标人资质要求：</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rPr>
      </w:pPr>
      <w:bookmarkStart w:id="3" w:name="PO_资格条件29"/>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4、投标人</w:t>
      </w:r>
      <w:r>
        <w:rPr>
          <w:rFonts w:hint="eastAsia" w:ascii="宋体" w:hAnsi="宋体" w:eastAsia="宋体" w:cs="宋体"/>
          <w:kern w:val="0"/>
          <w:sz w:val="24"/>
          <w:szCs w:val="24"/>
          <w:highlight w:val="none"/>
          <w:lang w:val="en-US" w:eastAsia="zh-CN"/>
        </w:rPr>
        <w:t>须</w:t>
      </w:r>
      <w:r>
        <w:rPr>
          <w:rFonts w:hint="eastAsia" w:ascii="宋体" w:hAnsi="宋体" w:eastAsia="宋体" w:cs="宋体"/>
          <w:kern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bookmarkEnd w:id="3"/>
      <w:r>
        <w:rPr>
          <w:rFonts w:hint="eastAsia" w:ascii="宋体" w:hAnsi="宋体" w:eastAsia="宋体" w:cs="宋体"/>
          <w:kern w:val="0"/>
          <w:sz w:val="24"/>
          <w:szCs w:val="24"/>
          <w:highlight w:val="none"/>
          <w:lang w:eastAsia="zh-CN"/>
        </w:rPr>
        <w:t>；</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val="en-US" w:eastAsia="zh-CN"/>
        </w:rPr>
        <w:t>投标人为代理商的，须提供制造商授权的完整连续且有效的代理证明文件。</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本项目不接受联合体投标</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三、报名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及开标时间、地点</w:t>
      </w:r>
    </w:p>
    <w:tbl>
      <w:tblPr>
        <w:tblStyle w:val="14"/>
        <w:tblpPr w:leftFromText="180" w:rightFromText="180" w:vertAnchor="text" w:horzAnchor="page" w:tblpX="1556" w:tblpY="358"/>
        <w:tblOverlap w:val="never"/>
        <w:tblW w:w="9311" w:type="dxa"/>
        <w:tblInd w:w="0" w:type="dxa"/>
        <w:tblLayout w:type="fixed"/>
        <w:tblCellMar>
          <w:top w:w="0" w:type="dxa"/>
          <w:left w:w="108" w:type="dxa"/>
          <w:bottom w:w="0" w:type="dxa"/>
          <w:right w:w="108" w:type="dxa"/>
        </w:tblCellMar>
      </w:tblPr>
      <w:tblGrid>
        <w:gridCol w:w="958"/>
        <w:gridCol w:w="1823"/>
        <w:gridCol w:w="1569"/>
        <w:gridCol w:w="4961"/>
      </w:tblGrid>
      <w:tr>
        <w:tblPrEx>
          <w:tblCellMar>
            <w:top w:w="0" w:type="dxa"/>
            <w:left w:w="108" w:type="dxa"/>
            <w:bottom w:w="0" w:type="dxa"/>
            <w:right w:w="108" w:type="dxa"/>
          </w:tblCellMar>
        </w:tblPrEx>
        <w:trPr>
          <w:trHeight w:val="812" w:hRule="exact"/>
        </w:trPr>
        <w:tc>
          <w:tcPr>
            <w:tcW w:w="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82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56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年预估</w:t>
            </w:r>
          </w:p>
          <w:p>
            <w:pPr>
              <w:widowControl/>
              <w:jc w:val="center"/>
              <w:rPr>
                <w:rFonts w:ascii="宋体" w:hAnsi="宋体"/>
                <w:szCs w:val="21"/>
              </w:rPr>
            </w:pPr>
            <w:r>
              <w:rPr>
                <w:rFonts w:hint="eastAsia" w:ascii="宋体" w:hAnsi="宋体"/>
                <w:szCs w:val="21"/>
                <w:lang w:val="en-US" w:eastAsia="zh-CN"/>
              </w:rPr>
              <w:t>使用</w:t>
            </w:r>
            <w:r>
              <w:rPr>
                <w:rFonts w:hint="eastAsia" w:ascii="宋体" w:hAnsi="宋体"/>
                <w:szCs w:val="21"/>
              </w:rPr>
              <w:t>量</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eastAsia="zh-CN"/>
              </w:rPr>
              <w:t>“</w:t>
            </w:r>
            <w:r>
              <w:rPr>
                <w:rFonts w:hint="eastAsia" w:ascii="宋体" w:hAnsi="宋体"/>
                <w:szCs w:val="21"/>
                <w:lang w:val="en-US" w:eastAsia="zh-CN"/>
              </w:rPr>
              <w:t>预约登记</w:t>
            </w:r>
            <w:r>
              <w:rPr>
                <w:rFonts w:hint="eastAsia" w:ascii="宋体" w:hAnsi="宋体"/>
                <w:szCs w:val="21"/>
                <w:lang w:eastAsia="zh-CN"/>
              </w:rPr>
              <w:t>”</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01</w:t>
            </w:r>
          </w:p>
        </w:tc>
        <w:tc>
          <w:tcPr>
            <w:tcW w:w="1823" w:type="dxa"/>
            <w:tcBorders>
              <w:top w:val="single" w:color="auto" w:sz="4" w:space="0"/>
              <w:left w:val="nil"/>
              <w:bottom w:val="single" w:color="auto" w:sz="4" w:space="0"/>
              <w:right w:val="single" w:color="auto" w:sz="4" w:space="0"/>
            </w:tcBorders>
            <w:noWrap w:val="0"/>
            <w:vAlign w:val="center"/>
          </w:tcPr>
          <w:p>
            <w:pPr>
              <w:pStyle w:val="3"/>
              <w:rPr>
                <w:sz w:val="21"/>
                <w:szCs w:val="21"/>
                <w:highlight w:val="none"/>
              </w:rPr>
            </w:pPr>
            <w:r>
              <w:rPr>
                <w:rFonts w:hint="eastAsia" w:ascii="宋体" w:hAnsi="宋体" w:eastAsia="宋体" w:cs="宋体"/>
                <w:kern w:val="0"/>
                <w:sz w:val="21"/>
                <w:szCs w:val="21"/>
                <w:highlight w:val="none"/>
                <w:lang w:val="en-US" w:eastAsia="zh-CN"/>
              </w:rPr>
              <w:t>EBER探针（手工）</w:t>
            </w:r>
          </w:p>
        </w:tc>
        <w:tc>
          <w:tcPr>
            <w:tcW w:w="156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olor w:val="FF000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检测/年</w:t>
            </w:r>
          </w:p>
        </w:tc>
        <w:tc>
          <w:tcPr>
            <w:tcW w:w="4961"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eastAsia="宋体" w:cs="宋体"/>
                <w:sz w:val="24"/>
                <w:szCs w:val="24"/>
                <w:highlight w:val="none"/>
              </w:rPr>
              <w:drawing>
                <wp:inline distT="0" distB="0" distL="114300" distR="114300">
                  <wp:extent cx="1245870" cy="1245870"/>
                  <wp:effectExtent l="0" t="0" r="11430"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245870" cy="1245870"/>
                          </a:xfrm>
                          <a:prstGeom prst="rect">
                            <a:avLst/>
                          </a:prstGeom>
                          <a:noFill/>
                          <a:ln w="9525">
                            <a:noFill/>
                          </a:ln>
                        </pic:spPr>
                      </pic:pic>
                    </a:graphicData>
                  </a:graphic>
                </wp:inline>
              </w:drawing>
            </w:r>
          </w:p>
          <w:p>
            <w:pPr>
              <w:jc w:val="left"/>
              <w:rPr>
                <w:rFonts w:ascii="宋体" w:hAnsi="宋体"/>
                <w:szCs w:val="21"/>
                <w:highlight w:val="none"/>
              </w:rPr>
            </w:pPr>
            <w:r>
              <w:rPr>
                <w:rFonts w:hint="eastAsia" w:ascii="宋体" w:hAnsi="宋体"/>
                <w:szCs w:val="21"/>
                <w:highlight w:val="none"/>
              </w:rPr>
              <w:t>https://gysgl.shchildren.com.cn:9088/hospital-supplier/hospital/visit?pc=00015255</w:t>
            </w:r>
          </w:p>
        </w:tc>
      </w:tr>
    </w:tbl>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6</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06</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6</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13</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自行下载遴选文件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开标时间、地点</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rPr>
        <w:t>请于</w:t>
      </w:r>
      <w:r>
        <w:rPr>
          <w:rFonts w:hint="eastAsia" w:ascii="宋体" w:hAnsi="宋体" w:eastAsia="宋体" w:cs="宋体"/>
          <w:b/>
          <w:bCs/>
          <w:color w:val="FF0000"/>
          <w:kern w:val="2"/>
          <w:sz w:val="24"/>
          <w:szCs w:val="24"/>
          <w:lang w:val="en-US" w:eastAsia="zh-CN" w:bidi="ar-SA"/>
        </w:rPr>
        <w:t>2023年06月14日北京时间14:00至上海市泸定路355号住院部503会议室</w:t>
      </w:r>
      <w:r>
        <w:rPr>
          <w:rFonts w:hint="eastAsia" w:ascii="宋体" w:hAnsi="宋体" w:eastAsia="宋体" w:cs="宋体"/>
          <w:i w:val="0"/>
          <w:iCs w:val="0"/>
          <w:caps w:val="0"/>
          <w:color w:val="auto"/>
          <w:spacing w:val="0"/>
          <w:sz w:val="24"/>
          <w:szCs w:val="24"/>
          <w:highlight w:val="none"/>
        </w:rPr>
        <w:t>参与本项目</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lang w:val="en-US" w:eastAsia="zh-CN"/>
        </w:rPr>
        <w:t>开标</w:t>
      </w:r>
      <w:r>
        <w:rPr>
          <w:rFonts w:hint="eastAsia" w:ascii="宋体" w:hAnsi="宋体" w:eastAsia="宋体" w:cs="宋体"/>
          <w:i w:val="0"/>
          <w:iCs w:val="0"/>
          <w:caps w:val="0"/>
          <w:color w:val="auto"/>
          <w:spacing w:val="0"/>
          <w:sz w:val="24"/>
          <w:szCs w:val="24"/>
          <w:highlight w:val="none"/>
        </w:rPr>
        <w:t>。届时供应商</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派代表出席</w:t>
      </w:r>
      <w:r>
        <w:rPr>
          <w:rFonts w:hint="eastAsia" w:ascii="宋体" w:hAnsi="宋体" w:eastAsia="宋体" w:cs="宋体"/>
          <w:i w:val="0"/>
          <w:iCs w:val="0"/>
          <w:caps w:val="0"/>
          <w:color w:val="auto"/>
          <w:spacing w:val="0"/>
          <w:sz w:val="24"/>
          <w:szCs w:val="24"/>
          <w:highlight w:val="none"/>
          <w:lang w:val="en-US" w:eastAsia="zh-CN"/>
        </w:rPr>
        <w:t>开标会</w:t>
      </w:r>
      <w:r>
        <w:rPr>
          <w:rFonts w:hint="eastAsia" w:ascii="宋体" w:hAnsi="宋体" w:eastAsia="宋体" w:cs="宋体"/>
          <w:i w:val="0"/>
          <w:iCs w:val="0"/>
          <w:caps w:val="0"/>
          <w:color w:val="auto"/>
          <w:spacing w:val="0"/>
          <w:sz w:val="24"/>
          <w:szCs w:val="24"/>
          <w:highlight w:val="none"/>
        </w:rPr>
        <w:t>，并递交</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rPr>
        <w:t>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遴选响应</w:t>
      </w:r>
      <w:r>
        <w:rPr>
          <w:rFonts w:hint="eastAsia" w:ascii="宋体" w:hAnsi="宋体" w:eastAsia="宋体" w:cs="宋体"/>
          <w:sz w:val="24"/>
          <w:szCs w:val="24"/>
        </w:rPr>
        <w:t>文件要求</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遴选</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资格。</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lang w:val="en-US" w:eastAsia="zh-CN"/>
        </w:rPr>
      </w:pP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rPr>
      </w:pPr>
      <w:bookmarkStart w:id="4" w:name="_GoBack"/>
      <w:bookmarkEnd w:id="4"/>
      <w:r>
        <w:rPr>
          <w:rFonts w:hint="eastAsia" w:ascii="宋体" w:hAnsi="宋体" w:eastAsia="宋体" w:cs="宋体"/>
          <w:b/>
          <w:bCs/>
          <w:kern w:val="0"/>
          <w:sz w:val="24"/>
          <w:szCs w:val="24"/>
          <w:lang w:val="en-US" w:eastAsia="zh-CN"/>
        </w:rPr>
        <w:t>四、遴选内容及要求</w:t>
      </w:r>
      <w:r>
        <w:rPr>
          <w:rFonts w:hint="eastAsia" w:ascii="宋体" w:hAnsi="宋体" w:eastAsia="宋体" w:cs="宋体"/>
          <w:b/>
          <w:bCs/>
          <w:kern w:val="0"/>
          <w:sz w:val="24"/>
          <w:szCs w:val="24"/>
        </w:rPr>
        <w:t>：</w:t>
      </w:r>
    </w:p>
    <w:p>
      <w:pPr>
        <w:keepNext w:val="0"/>
        <w:keepLines w:val="0"/>
        <w:pageBreakBefore w:val="0"/>
        <w:kinsoku/>
        <w:overflowPunct/>
        <w:topLinePunct w:val="0"/>
        <w:bidi w:val="0"/>
        <w:spacing w:line="46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试剂名称：</w:t>
      </w:r>
      <w:r>
        <w:rPr>
          <w:rFonts w:hint="eastAsia" w:ascii="宋体" w:hAnsi="宋体" w:eastAsia="宋体" w:cs="宋体"/>
          <w:color w:val="000000"/>
          <w:kern w:val="0"/>
          <w:sz w:val="24"/>
          <w:szCs w:val="24"/>
          <w:lang w:eastAsia="zh-CN"/>
        </w:rPr>
        <w:t>EBER探针（手工）</w:t>
      </w:r>
      <w:r>
        <w:rPr>
          <w:rFonts w:hint="eastAsia" w:ascii="宋体" w:hAnsi="宋体" w:eastAsia="宋体" w:cs="宋体"/>
          <w:color w:val="000000"/>
          <w:kern w:val="0"/>
          <w:sz w:val="24"/>
          <w:szCs w:val="24"/>
          <w:lang w:val="en-US" w:eastAsia="zh-CN" w:bidi="ar"/>
        </w:rPr>
        <w:t xml:space="preserve">                                        </w:t>
      </w:r>
    </w:p>
    <w:p>
      <w:pPr>
        <w:keepNext w:val="0"/>
        <w:keepLines w:val="0"/>
        <w:pageBreakBefore w:val="0"/>
        <w:kinsoku/>
        <w:overflowPunct/>
        <w:topLinePunct w:val="0"/>
        <w:bidi w:val="0"/>
        <w:spacing w:line="46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年预估使用量：500检测/年</w:t>
      </w:r>
    </w:p>
    <w:tbl>
      <w:tblPr>
        <w:tblStyle w:val="14"/>
        <w:tblW w:w="9276" w:type="dxa"/>
        <w:tblInd w:w="-25" w:type="dxa"/>
        <w:tblLayout w:type="fixed"/>
        <w:tblCellMar>
          <w:top w:w="0" w:type="dxa"/>
          <w:left w:w="108" w:type="dxa"/>
          <w:bottom w:w="0" w:type="dxa"/>
          <w:right w:w="108" w:type="dxa"/>
        </w:tblCellMar>
      </w:tblPr>
      <w:tblGrid>
        <w:gridCol w:w="1262"/>
        <w:gridCol w:w="8014"/>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用途： 用于原位杂交细胞组织上的核酸靶点的检测</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1.2.1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检测方法：原位杂交法</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阳性着色定位准确，且无背景染色；</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阴性对照和空白对照染色结果为阴性。</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批内重复性：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同一批号的3份试剂，对阳性质控片进行原位杂交检测，杂交强度和定位无明显差异</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rPr>
              <w:t>1.2.4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批间重复性：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3份不同批号的试剂，对阳性质控片进行原位杂交检测，杂交强度和定位无明显差异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、评审原则及方法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1、遴选</w:t>
      </w:r>
      <w:r>
        <w:rPr>
          <w:rFonts w:hint="eastAsia" w:ascii="宋体" w:hAnsi="宋体" w:eastAsia="宋体" w:cs="宋体"/>
          <w:sz w:val="24"/>
          <w:szCs w:val="24"/>
          <w:highlight w:val="none"/>
        </w:rPr>
        <w:t>文件中凡标有“★”的条款</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实质性要求条款，如不满足投标无效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2、遴选</w:t>
      </w:r>
      <w:r>
        <w:rPr>
          <w:rFonts w:hint="eastAsia" w:ascii="宋体" w:hAnsi="宋体" w:eastAsia="宋体" w:cs="宋体"/>
          <w:sz w:val="24"/>
          <w:szCs w:val="24"/>
          <w:highlight w:val="none"/>
        </w:rPr>
        <w:t>采用综合评分法进行评审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采购委员会根据综合得分进行</w:t>
      </w:r>
      <w:r>
        <w:rPr>
          <w:rFonts w:hint="eastAsia" w:ascii="宋体" w:hAnsi="宋体" w:eastAsia="宋体" w:cs="宋体"/>
          <w:sz w:val="24"/>
          <w:szCs w:val="24"/>
          <w:highlight w:val="none"/>
        </w:rPr>
        <w:t>排名，排名第一的为中标候选人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具体评分标准如下：</w:t>
      </w:r>
    </w:p>
    <w:tbl>
      <w:tblPr>
        <w:tblStyle w:val="15"/>
        <w:tblW w:w="948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7"/>
        <w:gridCol w:w="1200"/>
        <w:gridCol w:w="5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评分项目</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报价得分</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0-40</w:t>
            </w:r>
          </w:p>
        </w:tc>
        <w:tc>
          <w:tcPr>
            <w:tcW w:w="5766"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N＝40*所有投标中的有效最低投标报价/合格投标人的投标报价。</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说明：“N”表示报价得分；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技术性能</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（1）投标产品技术参数符合招标文件所有实质性要求的，得满分40分；（2）投标产品一般技术参数低于招标文件要求，有一项减3分；“▲”条款低于招标文件要求的，扣5分。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trPr>
        <w:tc>
          <w:tcPr>
            <w:tcW w:w="2517"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综合实力</w:t>
            </w:r>
          </w:p>
        </w:tc>
        <w:tc>
          <w:tcPr>
            <w:tcW w:w="1200"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0-5</w:t>
            </w:r>
          </w:p>
        </w:tc>
        <w:tc>
          <w:tcPr>
            <w:tcW w:w="5766" w:type="dxa"/>
            <w:vAlign w:val="center"/>
          </w:tcPr>
          <w:p>
            <w:pPr>
              <w:spacing w:line="360" w:lineRule="auto"/>
              <w:rPr>
                <w:rFonts w:ascii="宋体" w:hAnsi="宋体"/>
                <w:sz w:val="24"/>
                <w:highlight w:val="none"/>
              </w:rPr>
            </w:pPr>
            <w:r>
              <w:rPr>
                <w:rFonts w:hint="eastAsia" w:ascii="宋体" w:hAnsi="宋体"/>
                <w:sz w:val="24"/>
                <w:highlight w:val="none"/>
              </w:rPr>
              <w:t>根据参选人的企业资质、所获荣誉、财务能力等综合评定。</w:t>
            </w:r>
          </w:p>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售后服务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5766" w:type="dxa"/>
            <w:vAlign w:val="center"/>
          </w:tcPr>
          <w:p>
            <w:pPr>
              <w:spacing w:line="360" w:lineRule="auto"/>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在满足招标人服务要求及标准的前提下，比较各参选人提交的售后服务方案，内容应包括：服务水平承诺、服务级别、应急预案、技术支持力量等，并结合参选人对服务要求条款偏离情况进行打分。</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产品业绩</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提供医院销售合同或发票，合同或发票中要体现主体名称、数量和金额，提供一家加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同家医院提供多份合同或发票只加1分</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p>
    <w:p>
      <w:pPr>
        <w:keepNext w:val="0"/>
        <w:keepLines w:val="0"/>
        <w:pageBreakBefore w:val="0"/>
        <w:kinsoku/>
        <w:overflowPunct/>
        <w:topLinePunct w:val="0"/>
        <w:bidi w:val="0"/>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highlight w:val="none"/>
          <w:lang w:val="en-US" w:eastAsia="zh-CN" w:bidi="ar"/>
        </w:rPr>
        <w:t>六、相关要求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、提供产品清单，包括产品信息和报价。</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名称及收费价格信息、单人份价格/项目收费价格、扣率等。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2、提供产品资证、相关说明书、存储要求、供应包装与标签等文件。</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包括试剂、试剂盒、校准品、质控品、辅助品等）的文件资料必须真实有效，包括但不限于：营业执照、经营许可证、生产许可证、代理授权文件、医疗器械注册证、第一类医疗器械备案凭证、说明书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（2）进口产品，须同时提供原版与中文的相关说明书。</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、接到院方通知后保证</w:t>
      </w:r>
      <w:r>
        <w:rPr>
          <w:rFonts w:hint="eastAsia" w:ascii="宋体" w:hAnsi="宋体" w:eastAsia="宋体" w:cs="宋体"/>
          <w:sz w:val="24"/>
          <w:szCs w:val="24"/>
          <w:highlight w:val="none"/>
          <w:lang w:eastAsia="zh-CN"/>
        </w:rPr>
        <w:t>72小时</w:t>
      </w:r>
      <w:r>
        <w:rPr>
          <w:rFonts w:hint="eastAsia" w:ascii="宋体" w:hAnsi="宋体" w:eastAsia="宋体" w:cs="宋体"/>
          <w:sz w:val="24"/>
          <w:szCs w:val="24"/>
          <w:highlight w:val="none"/>
          <w:lang w:val="en-US" w:eastAsia="zh-CN"/>
        </w:rPr>
        <w:t>内完成</w:t>
      </w:r>
      <w:r>
        <w:rPr>
          <w:rFonts w:hint="eastAsia" w:ascii="宋体" w:hAnsi="宋体" w:eastAsia="宋体" w:cs="宋体"/>
          <w:sz w:val="24"/>
          <w:szCs w:val="24"/>
          <w:highlight w:val="none"/>
        </w:rPr>
        <w:t>配送，保障临床需求。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、提供的产品需符合国家关于质量、运</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输、存储、安全的规定与要求，并通过实验室质量管理要求的相关性能验证。</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、提供完善的培训、指导等技术支持，保障临床应用。</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、提供完善的应急预案，以保证出现突发或意外情况时，不影响院方的正常工作。应急预案应包括：产品的应急、物流的应急等。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、保障产品质量并及时供应，并接受院方因为临床需求变更、产品升级及其它质量、价格等变化而提出的服务期结束要求。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、院方在实际使用过程中，若发现无效产品，或出现产品与医疗器械注册证等相关证明文件的信息不相符的情况，供应商须无偿补足损耗并承担相应责任。</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、院方在实际使用过程中，若发现有不合格产品，供应商须对所有剩余产品进行无条件更换。</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、供应商所供货物自用户验收之日起计算，剩余有效期要求≥</w:t>
      </w:r>
      <w:r>
        <w:rPr>
          <w:rFonts w:hint="eastAsia" w:ascii="宋体" w:hAnsi="宋体" w:eastAsia="宋体" w:cs="宋体"/>
          <w:sz w:val="24"/>
          <w:szCs w:val="24"/>
          <w:lang w:val="en-US" w:eastAsia="zh-CN"/>
        </w:rPr>
        <w:t>3</w:t>
      </w:r>
      <w:r>
        <w:rPr>
          <w:rFonts w:hint="eastAsia" w:ascii="宋体" w:hAnsi="宋体" w:eastAsia="宋体" w:cs="宋体"/>
          <w:sz w:val="24"/>
          <w:szCs w:val="24"/>
        </w:rPr>
        <w:t>个月；对有效期≤</w:t>
      </w:r>
      <w:r>
        <w:rPr>
          <w:rFonts w:hint="eastAsia" w:ascii="宋体" w:hAnsi="宋体" w:eastAsia="宋体" w:cs="宋体"/>
          <w:sz w:val="24"/>
          <w:szCs w:val="24"/>
          <w:lang w:val="en-US" w:eastAsia="zh-CN"/>
        </w:rPr>
        <w:t>3</w:t>
      </w:r>
      <w:r>
        <w:rPr>
          <w:rFonts w:hint="eastAsia" w:ascii="宋体" w:hAnsi="宋体" w:eastAsia="宋体" w:cs="宋体"/>
          <w:sz w:val="24"/>
          <w:szCs w:val="24"/>
        </w:rPr>
        <w:t>个月的货物，供应商须在产品有效期内提供无条件更换服务。</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、积极配合院方完成相关质控工作。</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、产品在上海市临检中心室间质控检测中出现不合格的，院方有权废除其中选资格，结束其服务，且由此产生的费用由供应商承担。</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、若因产品质量问题或技术支持不够完善，引起的患者伤害及一切不良后果，供应商将承担由此引发的全部法律责任及经济赔偿。</w:t>
      </w:r>
    </w:p>
    <w:p>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我院由体外诊断试剂IVD集中供应服务商进行试剂和耗材的集中管理，积极配合院方完成相关工作。</w:t>
      </w:r>
    </w:p>
    <w:p>
      <w:pPr>
        <w:pStyle w:val="2"/>
        <w:rPr>
          <w:rFonts w:hint="eastAsia" w:ascii="宋体" w:hAnsi="宋体" w:eastAsia="宋体" w:cs="宋体"/>
        </w:rPr>
      </w:pP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七、遴选响应文件</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遴选响应文件应包括但不限于遴选采购报价表、资格证明文件、售后服务承诺书、用户名单及无重大违法记录等资料。</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1、试剂报价单</w:t>
      </w:r>
      <w:r>
        <w:rPr>
          <w:rFonts w:hint="eastAsia" w:ascii="宋体" w:hAnsi="宋体" w:eastAsia="宋体" w:cs="宋体"/>
          <w:sz w:val="24"/>
          <w:szCs w:val="24"/>
          <w:highlight w:val="none"/>
        </w:rPr>
        <w:t>（人民币报价）。（详见附件1）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资格证明文件要求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（详见附件2）</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技术参数偏离表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（详见附件3）</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用户名单：用户名单，并提供联系人及联系方式。（详见附件4）</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法人代表授权书。（详见附件5）</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供应商需提供在“信用中国”网站（www.creditchina.gov.cn）上的查询结果截图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（详见附件6）</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无重大违法记录承诺书。（详见附件7）</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无行贿犯罪记录声明函。（详见附件8）</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关于资格的声明函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（详见附件9）</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销售承诺及服务质量保证书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11、医用耗材</w:t>
      </w:r>
      <w:r>
        <w:rPr>
          <w:rFonts w:hint="eastAsia" w:ascii="宋体" w:hAnsi="宋体" w:eastAsia="宋体" w:cs="宋体"/>
          <w:sz w:val="24"/>
          <w:szCs w:val="24"/>
          <w:highlight w:val="none"/>
        </w:rPr>
        <w:t>购置承诺书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12、廉洁</w:t>
      </w:r>
      <w:r>
        <w:rPr>
          <w:rFonts w:hint="eastAsia" w:ascii="宋体" w:hAnsi="宋体" w:eastAsia="宋体" w:cs="宋体"/>
          <w:sz w:val="24"/>
          <w:szCs w:val="24"/>
          <w:highlight w:val="none"/>
        </w:rPr>
        <w:t>协议书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（详见附件12）</w:t>
      </w:r>
    </w:p>
    <w:p>
      <w:pPr>
        <w:pStyle w:val="2"/>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pStyle w:val="2"/>
        <w:rPr>
          <w:rFonts w:hint="eastAsia" w:ascii="宋体" w:hAnsi="宋体" w:eastAsia="宋体" w:cs="宋体"/>
          <w:sz w:val="32"/>
          <w:szCs w:val="32"/>
        </w:rPr>
      </w:pPr>
    </w:p>
    <w:p>
      <w:pPr>
        <w:pStyle w:val="34"/>
        <w:rPr>
          <w:rFonts w:hint="eastAsia" w:ascii="宋体" w:hAnsi="宋体" w:eastAsia="宋体" w:cs="宋体"/>
        </w:rPr>
      </w:pPr>
    </w:p>
    <w:p>
      <w:pPr>
        <w:keepNext w:val="0"/>
        <w:keepLines w:val="0"/>
        <w:pageBreakBefore w:val="0"/>
        <w:widowControl/>
        <w:numPr>
          <w:ilvl w:val="0"/>
          <w:numId w:val="0"/>
        </w:numPr>
        <w:kinsoku/>
        <w:wordWrap w:val="0"/>
        <w:overflowPunct/>
        <w:topLinePunct w:val="0"/>
        <w:autoSpaceDE/>
        <w:autoSpaceDN/>
        <w:bidi w:val="0"/>
        <w:adjustRightInd/>
        <w:snapToGrid/>
        <w:spacing w:line="420" w:lineRule="exact"/>
        <w:textAlignment w:val="auto"/>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pStyle w:val="2"/>
        <w:rPr>
          <w:rFonts w:hint="eastAsia" w:ascii="宋体" w:hAnsi="宋体" w:eastAsia="宋体" w:cs="宋体"/>
          <w:b/>
          <w:bCs/>
          <w:kern w:val="0"/>
          <w:sz w:val="28"/>
          <w:szCs w:val="28"/>
        </w:rPr>
      </w:pPr>
    </w:p>
    <w:p>
      <w:pPr>
        <w:pStyle w:val="2"/>
        <w:rPr>
          <w:rFonts w:hint="eastAsia" w:ascii="宋体" w:hAnsi="宋体" w:eastAsia="宋体" w:cs="宋体"/>
          <w:b/>
          <w:bCs/>
          <w:kern w:val="0"/>
          <w:sz w:val="28"/>
          <w:szCs w:val="28"/>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2"/>
        <w:rPr>
          <w:rFonts w:hint="eastAsia" w:ascii="宋体" w:hAnsi="宋体" w:eastAsia="宋体" w:cs="宋体"/>
          <w:b/>
          <w:sz w:val="32"/>
          <w:szCs w:val="20"/>
        </w:rPr>
      </w:pPr>
    </w:p>
    <w:p>
      <w:pPr>
        <w:pStyle w:val="2"/>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74"/>
        <w:gridCol w:w="2551"/>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174"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遴选文件条目号</w:t>
            </w:r>
          </w:p>
        </w:tc>
        <w:tc>
          <w:tcPr>
            <w:tcW w:w="2551"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遴选文件要求</w:t>
            </w:r>
          </w:p>
        </w:tc>
        <w:tc>
          <w:tcPr>
            <w:tcW w:w="2127"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rPr>
              <w:t>遴选文件响应</w:t>
            </w:r>
          </w:p>
        </w:tc>
        <w:tc>
          <w:tcPr>
            <w:tcW w:w="141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ind w:left="0" w:leftChars="0" w:firstLine="0" w:firstLineChars="0"/>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lang w:eastAsia="zh-CN"/>
        </w:rPr>
      </w:pPr>
    </w:p>
    <w:p>
      <w:pPr>
        <w:pStyle w:val="2"/>
        <w:rPr>
          <w:rFonts w:hint="eastAsia" w:ascii="宋体" w:hAnsi="宋体" w:eastAsia="宋体" w:cs="宋体"/>
          <w:sz w:val="24"/>
          <w:lang w:eastAsia="zh-CN"/>
        </w:rPr>
      </w:pPr>
    </w:p>
    <w:p>
      <w:pPr>
        <w:pStyle w:val="2"/>
        <w:rPr>
          <w:rFonts w:hint="eastAsia" w:ascii="宋体" w:hAnsi="宋体" w:eastAsia="宋体" w:cs="宋体"/>
          <w:sz w:val="24"/>
          <w:lang w:eastAsia="zh-CN"/>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3"/>
        <w:rPr>
          <w:rFonts w:hint="eastAsia"/>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项目的遴选。在此郑重声明：经查询中国裁判文书网，我公司自开展经营活动以来，未有过行贿犯罪记录。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3"/>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3"/>
        <w:jc w:val="right"/>
        <w:rPr>
          <w:rFonts w:hint="eastAsia" w:ascii="宋体" w:hAnsi="宋体" w:eastAsia="宋体" w:cs="宋体"/>
          <w:strike/>
          <w:dstrike w:val="0"/>
          <w:sz w:val="21"/>
          <w:szCs w:val="18"/>
          <w:u w:val="none"/>
        </w:rPr>
      </w:pP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3"/>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3"/>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3"/>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3"/>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3"/>
        <w:numPr>
          <w:ilvl w:val="0"/>
          <w:numId w:val="5"/>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3"/>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3"/>
        <w:numPr>
          <w:ilvl w:val="0"/>
          <w:numId w:val="5"/>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3"/>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3"/>
        <w:keepNext w:val="0"/>
        <w:keepLines w:val="0"/>
        <w:pageBreakBefore w:val="0"/>
        <w:widowControl w:val="0"/>
        <w:numPr>
          <w:ilvl w:val="0"/>
          <w:numId w:val="5"/>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3"/>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3"/>
        <w:rPr>
          <w:rFonts w:hint="eastAsia" w:ascii="宋体" w:hAnsi="宋体" w:eastAsia="宋体" w:cs="宋体"/>
          <w:sz w:val="24"/>
        </w:rPr>
      </w:pPr>
    </w:p>
    <w:p>
      <w:pPr>
        <w:pStyle w:val="3"/>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222D1A1C"/>
    <w:multiLevelType w:val="singleLevel"/>
    <w:tmpl w:val="222D1A1C"/>
    <w:lvl w:ilvl="0" w:tentative="0">
      <w:start w:val="1"/>
      <w:numFmt w:val="decimal"/>
      <w:lvlText w:val="(%1)"/>
      <w:lvlJc w:val="left"/>
      <w:pPr>
        <w:ind w:left="425" w:hanging="425"/>
      </w:pPr>
      <w:rPr>
        <w:rFonts w:hint="default"/>
      </w:rPr>
    </w:lvl>
  </w:abstractNum>
  <w:abstractNum w:abstractNumId="3">
    <w:nsid w:val="4E91D29F"/>
    <w:multiLevelType w:val="singleLevel"/>
    <w:tmpl w:val="4E91D29F"/>
    <w:lvl w:ilvl="0" w:tentative="0">
      <w:start w:val="1"/>
      <w:numFmt w:val="chineseCounting"/>
      <w:suff w:val="nothing"/>
      <w:lvlText w:val="%1、"/>
      <w:lvlJc w:val="left"/>
      <w:rPr>
        <w:rFonts w:hint="eastAsia"/>
      </w:rPr>
    </w:lvl>
  </w:abstractNum>
  <w:abstractNum w:abstractNumId="4">
    <w:nsid w:val="79E1DEBA"/>
    <w:multiLevelType w:val="singleLevel"/>
    <w:tmpl w:val="79E1DEBA"/>
    <w:lvl w:ilvl="0" w:tentative="0">
      <w:start w:val="2"/>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B354EA"/>
    <w:rsid w:val="01D35164"/>
    <w:rsid w:val="01F9035B"/>
    <w:rsid w:val="023820D4"/>
    <w:rsid w:val="029B70E4"/>
    <w:rsid w:val="0320091C"/>
    <w:rsid w:val="03B66504"/>
    <w:rsid w:val="03BB1D6C"/>
    <w:rsid w:val="04E94BD0"/>
    <w:rsid w:val="05216C28"/>
    <w:rsid w:val="052E38E1"/>
    <w:rsid w:val="056B77C2"/>
    <w:rsid w:val="06456F2F"/>
    <w:rsid w:val="068078D5"/>
    <w:rsid w:val="068B266B"/>
    <w:rsid w:val="06AE7D15"/>
    <w:rsid w:val="06DF3030"/>
    <w:rsid w:val="06E077D2"/>
    <w:rsid w:val="06ED51F8"/>
    <w:rsid w:val="0716207E"/>
    <w:rsid w:val="075F4276"/>
    <w:rsid w:val="078C79FB"/>
    <w:rsid w:val="079E0DE6"/>
    <w:rsid w:val="07C30482"/>
    <w:rsid w:val="08322F87"/>
    <w:rsid w:val="085330F2"/>
    <w:rsid w:val="08BC690A"/>
    <w:rsid w:val="093D185A"/>
    <w:rsid w:val="098B21E0"/>
    <w:rsid w:val="099B1637"/>
    <w:rsid w:val="09B8083D"/>
    <w:rsid w:val="0B3D54C6"/>
    <w:rsid w:val="0BD151AB"/>
    <w:rsid w:val="0C321039"/>
    <w:rsid w:val="0CD67C16"/>
    <w:rsid w:val="0D1424ED"/>
    <w:rsid w:val="0D2766C4"/>
    <w:rsid w:val="0D5170BE"/>
    <w:rsid w:val="0D585E47"/>
    <w:rsid w:val="0E532263"/>
    <w:rsid w:val="0F1A1939"/>
    <w:rsid w:val="0F3D21CF"/>
    <w:rsid w:val="0F703B3A"/>
    <w:rsid w:val="0FAF41DB"/>
    <w:rsid w:val="0FB9281A"/>
    <w:rsid w:val="108E2F51"/>
    <w:rsid w:val="10AF4D9F"/>
    <w:rsid w:val="10C91DD2"/>
    <w:rsid w:val="10FA49AA"/>
    <w:rsid w:val="11114207"/>
    <w:rsid w:val="11711B25"/>
    <w:rsid w:val="11BD75F7"/>
    <w:rsid w:val="120C459D"/>
    <w:rsid w:val="12140B53"/>
    <w:rsid w:val="1279351E"/>
    <w:rsid w:val="129206FB"/>
    <w:rsid w:val="130D3C66"/>
    <w:rsid w:val="1335254F"/>
    <w:rsid w:val="148D505F"/>
    <w:rsid w:val="14F275B8"/>
    <w:rsid w:val="166D01D8"/>
    <w:rsid w:val="16C30F0C"/>
    <w:rsid w:val="17365260"/>
    <w:rsid w:val="175F4F16"/>
    <w:rsid w:val="177A1C19"/>
    <w:rsid w:val="177F6146"/>
    <w:rsid w:val="1790318F"/>
    <w:rsid w:val="179D1A5D"/>
    <w:rsid w:val="17C57205"/>
    <w:rsid w:val="17C70888"/>
    <w:rsid w:val="18717308"/>
    <w:rsid w:val="18B34AB1"/>
    <w:rsid w:val="1926004F"/>
    <w:rsid w:val="19A420BC"/>
    <w:rsid w:val="19BA433D"/>
    <w:rsid w:val="19C9617A"/>
    <w:rsid w:val="1A2D618B"/>
    <w:rsid w:val="1A5C4D89"/>
    <w:rsid w:val="1A5D3BB3"/>
    <w:rsid w:val="1A8E11FB"/>
    <w:rsid w:val="1AAD44D4"/>
    <w:rsid w:val="1B32070E"/>
    <w:rsid w:val="1B8D049E"/>
    <w:rsid w:val="1BD210C1"/>
    <w:rsid w:val="1BE71836"/>
    <w:rsid w:val="1C085564"/>
    <w:rsid w:val="1C343CE4"/>
    <w:rsid w:val="1C365FDC"/>
    <w:rsid w:val="1C7A236C"/>
    <w:rsid w:val="1CA91663"/>
    <w:rsid w:val="1CE23E5A"/>
    <w:rsid w:val="1D45611D"/>
    <w:rsid w:val="1DA46C3C"/>
    <w:rsid w:val="1DBF4DF8"/>
    <w:rsid w:val="1E1C1F51"/>
    <w:rsid w:val="1E8804B0"/>
    <w:rsid w:val="1F2F42FD"/>
    <w:rsid w:val="1FE07BE7"/>
    <w:rsid w:val="202E30FB"/>
    <w:rsid w:val="203B617F"/>
    <w:rsid w:val="20447CA5"/>
    <w:rsid w:val="20592EC7"/>
    <w:rsid w:val="20BD5BD5"/>
    <w:rsid w:val="20D70AF5"/>
    <w:rsid w:val="214C5AEE"/>
    <w:rsid w:val="21861547"/>
    <w:rsid w:val="21D03BEA"/>
    <w:rsid w:val="21D93070"/>
    <w:rsid w:val="22424B06"/>
    <w:rsid w:val="231150AD"/>
    <w:rsid w:val="235D481E"/>
    <w:rsid w:val="23692964"/>
    <w:rsid w:val="237A6EBD"/>
    <w:rsid w:val="237F418C"/>
    <w:rsid w:val="23B63AF4"/>
    <w:rsid w:val="23E834D5"/>
    <w:rsid w:val="24BD373E"/>
    <w:rsid w:val="2500187D"/>
    <w:rsid w:val="257858B7"/>
    <w:rsid w:val="25C02FB0"/>
    <w:rsid w:val="25D074A1"/>
    <w:rsid w:val="26323CB8"/>
    <w:rsid w:val="27A65FA1"/>
    <w:rsid w:val="27C75FB7"/>
    <w:rsid w:val="28367292"/>
    <w:rsid w:val="28EC2844"/>
    <w:rsid w:val="294E6773"/>
    <w:rsid w:val="29DD71B3"/>
    <w:rsid w:val="2A0A052A"/>
    <w:rsid w:val="2B08526E"/>
    <w:rsid w:val="2B106106"/>
    <w:rsid w:val="2B856638"/>
    <w:rsid w:val="2BCE4483"/>
    <w:rsid w:val="2C0606D5"/>
    <w:rsid w:val="2C3D5164"/>
    <w:rsid w:val="2C862048"/>
    <w:rsid w:val="2D480748"/>
    <w:rsid w:val="2DC33D1F"/>
    <w:rsid w:val="2E4E2C28"/>
    <w:rsid w:val="2E525E2F"/>
    <w:rsid w:val="2E530C6F"/>
    <w:rsid w:val="2E6220A5"/>
    <w:rsid w:val="2EC155DB"/>
    <w:rsid w:val="2F323D93"/>
    <w:rsid w:val="2F5A4355"/>
    <w:rsid w:val="2F6B3D97"/>
    <w:rsid w:val="2F8A6A30"/>
    <w:rsid w:val="30806547"/>
    <w:rsid w:val="308C0468"/>
    <w:rsid w:val="30FF1B96"/>
    <w:rsid w:val="31217972"/>
    <w:rsid w:val="313E79B5"/>
    <w:rsid w:val="31415E8B"/>
    <w:rsid w:val="323675CF"/>
    <w:rsid w:val="323A48DC"/>
    <w:rsid w:val="32E1056F"/>
    <w:rsid w:val="3301085B"/>
    <w:rsid w:val="33DE7E06"/>
    <w:rsid w:val="34083549"/>
    <w:rsid w:val="34BB30CA"/>
    <w:rsid w:val="34E42337"/>
    <w:rsid w:val="34EF0B8D"/>
    <w:rsid w:val="35D5013C"/>
    <w:rsid w:val="35E72D81"/>
    <w:rsid w:val="35EB3F55"/>
    <w:rsid w:val="368E0A67"/>
    <w:rsid w:val="36ED1E34"/>
    <w:rsid w:val="3733163E"/>
    <w:rsid w:val="375E30CC"/>
    <w:rsid w:val="37AF33BA"/>
    <w:rsid w:val="37ED5C91"/>
    <w:rsid w:val="38E20F2A"/>
    <w:rsid w:val="39CE1AF2"/>
    <w:rsid w:val="39D71739"/>
    <w:rsid w:val="39EC238C"/>
    <w:rsid w:val="3A110C5D"/>
    <w:rsid w:val="3A3662F3"/>
    <w:rsid w:val="3A4F6109"/>
    <w:rsid w:val="3A9F3E75"/>
    <w:rsid w:val="3AC3027E"/>
    <w:rsid w:val="3AF13B97"/>
    <w:rsid w:val="3B111A40"/>
    <w:rsid w:val="3B2C087E"/>
    <w:rsid w:val="3B595FFE"/>
    <w:rsid w:val="3BCC21F1"/>
    <w:rsid w:val="3BD5458B"/>
    <w:rsid w:val="3C28373B"/>
    <w:rsid w:val="3C8F5568"/>
    <w:rsid w:val="3CBB5598"/>
    <w:rsid w:val="3CE0537E"/>
    <w:rsid w:val="3D3C57FF"/>
    <w:rsid w:val="3D7831DE"/>
    <w:rsid w:val="3DA71EFB"/>
    <w:rsid w:val="3DE025C2"/>
    <w:rsid w:val="3E4B04D0"/>
    <w:rsid w:val="3EEE4FED"/>
    <w:rsid w:val="3F961A5B"/>
    <w:rsid w:val="3FC320AE"/>
    <w:rsid w:val="3FE35A0C"/>
    <w:rsid w:val="40214546"/>
    <w:rsid w:val="40BD62C9"/>
    <w:rsid w:val="40DC581F"/>
    <w:rsid w:val="411F46A5"/>
    <w:rsid w:val="413B181B"/>
    <w:rsid w:val="41E51367"/>
    <w:rsid w:val="42794CFD"/>
    <w:rsid w:val="42EA1B55"/>
    <w:rsid w:val="43572B58"/>
    <w:rsid w:val="43AF4742"/>
    <w:rsid w:val="43BF292A"/>
    <w:rsid w:val="44CF3F6B"/>
    <w:rsid w:val="45394A3E"/>
    <w:rsid w:val="4551058A"/>
    <w:rsid w:val="469F40CF"/>
    <w:rsid w:val="46DB30D4"/>
    <w:rsid w:val="46E77B6B"/>
    <w:rsid w:val="470F02C7"/>
    <w:rsid w:val="4747106E"/>
    <w:rsid w:val="47C63E08"/>
    <w:rsid w:val="47F92430"/>
    <w:rsid w:val="481366AF"/>
    <w:rsid w:val="483A1969"/>
    <w:rsid w:val="489D3BB8"/>
    <w:rsid w:val="48B620CF"/>
    <w:rsid w:val="48D461F6"/>
    <w:rsid w:val="48F86243"/>
    <w:rsid w:val="4A1B043B"/>
    <w:rsid w:val="4A995A85"/>
    <w:rsid w:val="4ABA6F52"/>
    <w:rsid w:val="4B137364"/>
    <w:rsid w:val="4B500246"/>
    <w:rsid w:val="4B692C1A"/>
    <w:rsid w:val="4B830252"/>
    <w:rsid w:val="4BC24A77"/>
    <w:rsid w:val="4BC37A29"/>
    <w:rsid w:val="4BDD711F"/>
    <w:rsid w:val="4C1B3BB0"/>
    <w:rsid w:val="4C5C48CE"/>
    <w:rsid w:val="4CBC7DCF"/>
    <w:rsid w:val="4CCA2576"/>
    <w:rsid w:val="4D021D86"/>
    <w:rsid w:val="4DFA7795"/>
    <w:rsid w:val="4E7B594C"/>
    <w:rsid w:val="4E825093"/>
    <w:rsid w:val="4E972115"/>
    <w:rsid w:val="4EA308F0"/>
    <w:rsid w:val="4EC053BC"/>
    <w:rsid w:val="4F1721D6"/>
    <w:rsid w:val="4F350E27"/>
    <w:rsid w:val="4F8E345D"/>
    <w:rsid w:val="50155B4A"/>
    <w:rsid w:val="50172112"/>
    <w:rsid w:val="50BF3F80"/>
    <w:rsid w:val="50D606E2"/>
    <w:rsid w:val="516155D9"/>
    <w:rsid w:val="51D65A91"/>
    <w:rsid w:val="51F7793F"/>
    <w:rsid w:val="538A27BB"/>
    <w:rsid w:val="53FD3ABD"/>
    <w:rsid w:val="541C5466"/>
    <w:rsid w:val="5455279C"/>
    <w:rsid w:val="5498544D"/>
    <w:rsid w:val="54BD7E54"/>
    <w:rsid w:val="54E0475B"/>
    <w:rsid w:val="554E62C0"/>
    <w:rsid w:val="555D589F"/>
    <w:rsid w:val="55783641"/>
    <w:rsid w:val="55B2147B"/>
    <w:rsid w:val="55EB7211"/>
    <w:rsid w:val="56791939"/>
    <w:rsid w:val="571B542D"/>
    <w:rsid w:val="573E1C0D"/>
    <w:rsid w:val="576E7689"/>
    <w:rsid w:val="577E5A91"/>
    <w:rsid w:val="57EC5D04"/>
    <w:rsid w:val="58872539"/>
    <w:rsid w:val="58892B8A"/>
    <w:rsid w:val="5A4F7C8D"/>
    <w:rsid w:val="5A5359CF"/>
    <w:rsid w:val="5AFA409D"/>
    <w:rsid w:val="5BB4249E"/>
    <w:rsid w:val="5BC70423"/>
    <w:rsid w:val="5BDE5A32"/>
    <w:rsid w:val="5C3D1857"/>
    <w:rsid w:val="5C82060B"/>
    <w:rsid w:val="5C8A7874"/>
    <w:rsid w:val="5CB5471F"/>
    <w:rsid w:val="5D126255"/>
    <w:rsid w:val="5D1860C7"/>
    <w:rsid w:val="5D213B63"/>
    <w:rsid w:val="5D3F5AEE"/>
    <w:rsid w:val="5DE078E6"/>
    <w:rsid w:val="5DF9063C"/>
    <w:rsid w:val="5E61047A"/>
    <w:rsid w:val="5F150EF2"/>
    <w:rsid w:val="5F6D308F"/>
    <w:rsid w:val="5FC92290"/>
    <w:rsid w:val="5FE60504"/>
    <w:rsid w:val="603C1320"/>
    <w:rsid w:val="61191A11"/>
    <w:rsid w:val="628F2A9D"/>
    <w:rsid w:val="63343EC4"/>
    <w:rsid w:val="633A46C6"/>
    <w:rsid w:val="635F7193"/>
    <w:rsid w:val="636B6B43"/>
    <w:rsid w:val="64722EF6"/>
    <w:rsid w:val="64CA2D32"/>
    <w:rsid w:val="64D67929"/>
    <w:rsid w:val="64FE099A"/>
    <w:rsid w:val="65752D20"/>
    <w:rsid w:val="657A17B8"/>
    <w:rsid w:val="658E5B0E"/>
    <w:rsid w:val="65A622E7"/>
    <w:rsid w:val="66061B48"/>
    <w:rsid w:val="660A5ADC"/>
    <w:rsid w:val="668E26A7"/>
    <w:rsid w:val="66B123AE"/>
    <w:rsid w:val="66BC0157"/>
    <w:rsid w:val="674A4B46"/>
    <w:rsid w:val="67643E82"/>
    <w:rsid w:val="67CF1147"/>
    <w:rsid w:val="6800057A"/>
    <w:rsid w:val="683F7341"/>
    <w:rsid w:val="68A42D9E"/>
    <w:rsid w:val="69A27DD9"/>
    <w:rsid w:val="69BC28BE"/>
    <w:rsid w:val="69F8754C"/>
    <w:rsid w:val="6A2E076D"/>
    <w:rsid w:val="6A794FDE"/>
    <w:rsid w:val="6AEF0528"/>
    <w:rsid w:val="6B9F58C4"/>
    <w:rsid w:val="6CBE13CE"/>
    <w:rsid w:val="6D3072C0"/>
    <w:rsid w:val="6E487369"/>
    <w:rsid w:val="6E7F33F8"/>
    <w:rsid w:val="6F252763"/>
    <w:rsid w:val="6F2B4343"/>
    <w:rsid w:val="6F4D07E7"/>
    <w:rsid w:val="6FBC771B"/>
    <w:rsid w:val="70214F89"/>
    <w:rsid w:val="705A4DB9"/>
    <w:rsid w:val="70B31796"/>
    <w:rsid w:val="70F84783"/>
    <w:rsid w:val="714323EA"/>
    <w:rsid w:val="71645162"/>
    <w:rsid w:val="71837E3C"/>
    <w:rsid w:val="722A09BE"/>
    <w:rsid w:val="72BB25BB"/>
    <w:rsid w:val="7349268D"/>
    <w:rsid w:val="73904617"/>
    <w:rsid w:val="73966EBB"/>
    <w:rsid w:val="745A720C"/>
    <w:rsid w:val="748D1686"/>
    <w:rsid w:val="75671ED7"/>
    <w:rsid w:val="7567441B"/>
    <w:rsid w:val="75F4167C"/>
    <w:rsid w:val="761F06CA"/>
    <w:rsid w:val="763554A4"/>
    <w:rsid w:val="76871433"/>
    <w:rsid w:val="76E83BEF"/>
    <w:rsid w:val="7836450F"/>
    <w:rsid w:val="784333A1"/>
    <w:rsid w:val="787119EB"/>
    <w:rsid w:val="78986B42"/>
    <w:rsid w:val="78FD6296"/>
    <w:rsid w:val="796927DE"/>
    <w:rsid w:val="79B31B8F"/>
    <w:rsid w:val="79BF34C3"/>
    <w:rsid w:val="7A044863"/>
    <w:rsid w:val="7A877B5A"/>
    <w:rsid w:val="7ABA3491"/>
    <w:rsid w:val="7AF36E33"/>
    <w:rsid w:val="7B857D92"/>
    <w:rsid w:val="7BB948D7"/>
    <w:rsid w:val="7BBA5457"/>
    <w:rsid w:val="7BBE620D"/>
    <w:rsid w:val="7BD50615"/>
    <w:rsid w:val="7BEB1AB4"/>
    <w:rsid w:val="7D241CF8"/>
    <w:rsid w:val="7D6A7C65"/>
    <w:rsid w:val="7D753796"/>
    <w:rsid w:val="7E175980"/>
    <w:rsid w:val="7E7B4E43"/>
    <w:rsid w:val="7ECF7E29"/>
    <w:rsid w:val="7EE822DB"/>
    <w:rsid w:val="7EEC02C7"/>
    <w:rsid w:val="7F282C93"/>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rPr>
      <w:szCs w:val="21"/>
    </w:rPr>
  </w:style>
  <w:style w:type="paragraph" w:styleId="5">
    <w:name w:val="annotation text"/>
    <w:basedOn w:val="1"/>
    <w:link w:val="27"/>
    <w:semiHidden/>
    <w:qFormat/>
    <w:uiPriority w:val="0"/>
    <w:pPr>
      <w:jc w:val="left"/>
    </w:pPr>
    <w:rPr>
      <w:rFonts w:ascii="Times New Roman" w:hAnsi="Times New Roman" w:eastAsia="宋体" w:cs="Times New Roman"/>
      <w:szCs w:val="24"/>
    </w:rPr>
  </w:style>
  <w:style w:type="paragraph" w:styleId="6">
    <w:name w:val="Body Text Indent"/>
    <w:basedOn w:val="1"/>
    <w:qFormat/>
    <w:uiPriority w:val="0"/>
    <w:pPr>
      <w:spacing w:line="360" w:lineRule="auto"/>
      <w:ind w:left="420" w:firstLine="420"/>
    </w:pPr>
    <w:rPr>
      <w:rFonts w:ascii="宋体" w:hAnsi="宋体"/>
      <w:sz w:val="24"/>
      <w:shd w:val="pct10" w:color="auto" w:fill="FFFFFF"/>
    </w:rPr>
  </w:style>
  <w:style w:type="paragraph" w:styleId="7">
    <w:name w:val="Balloon Text"/>
    <w:basedOn w:val="1"/>
    <w:link w:val="28"/>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jc w:val="center"/>
    </w:pPr>
    <w:rPr>
      <w:rFonts w:hint="eastAsia" w:ascii="楷体_GB2312" w:eastAsia="楷体_GB2312"/>
      <w:b/>
      <w:sz w:val="72"/>
      <w:szCs w:val="20"/>
    </w:rPr>
  </w:style>
  <w:style w:type="paragraph" w:styleId="11">
    <w:name w:val="Normal (Web)"/>
    <w:basedOn w:val="1"/>
    <w:next w:val="12"/>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3">
    <w:name w:val="Body Text First Indent 2"/>
    <w:basedOn w:val="6"/>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9"/>
    <w:qFormat/>
    <w:uiPriority w:val="99"/>
    <w:rPr>
      <w:sz w:val="18"/>
      <w:szCs w:val="18"/>
    </w:rPr>
  </w:style>
  <w:style w:type="character" w:customStyle="1" w:styleId="23">
    <w:name w:val="页脚 字符"/>
    <w:basedOn w:val="16"/>
    <w:link w:val="8"/>
    <w:qFormat/>
    <w:uiPriority w:val="99"/>
    <w:rPr>
      <w:sz w:val="18"/>
      <w:szCs w:val="18"/>
    </w:rPr>
  </w:style>
  <w:style w:type="character" w:customStyle="1" w:styleId="24">
    <w:name w:val="标题 1 字符"/>
    <w:basedOn w:val="16"/>
    <w:link w:val="4"/>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5"/>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7"/>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6148</Words>
  <Characters>6655</Characters>
  <Lines>29</Lines>
  <Paragraphs>8</Paragraphs>
  <TotalTime>0</TotalTime>
  <ScaleCrop>false</ScaleCrop>
  <LinksUpToDate>false</LinksUpToDate>
  <CharactersWithSpaces>7216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2023-06-02T01:50:32Z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5A7582F762F543B980A55E2793244CCE</vt:lpwstr>
  </property>
</Properties>
</file>