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华文仿宋" w:hAnsi="华文仿宋" w:eastAsia="华文仿宋" w:cs="华文仿宋"/>
          <w:sz w:val="60"/>
          <w:szCs w:val="60"/>
        </w:rPr>
      </w:pPr>
    </w:p>
    <w:p>
      <w:pPr>
        <w:pStyle w:val="12"/>
        <w:jc w:val="both"/>
        <w:rPr>
          <w:rFonts w:ascii="华文仿宋" w:hAnsi="华文仿宋" w:eastAsia="华文仿宋" w:cs="华文仿宋"/>
          <w:sz w:val="60"/>
          <w:szCs w:val="60"/>
        </w:rPr>
      </w:pPr>
    </w:p>
    <w:p>
      <w:pPr>
        <w:pStyle w:val="12"/>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pPr>
        <w:pStyle w:val="12"/>
        <w:rPr>
          <w:rFonts w:ascii="华文仿宋" w:hAnsi="华文仿宋" w:eastAsia="华文仿宋" w:cs="华文仿宋"/>
          <w:sz w:val="60"/>
          <w:szCs w:val="60"/>
        </w:rPr>
      </w:pPr>
    </w:p>
    <w:p>
      <w:pPr>
        <w:pStyle w:val="12"/>
        <w:rPr>
          <w:rFonts w:ascii="华文仿宋" w:hAnsi="华文仿宋" w:eastAsia="华文仿宋" w:cs="华文仿宋"/>
          <w:sz w:val="60"/>
          <w:szCs w:val="60"/>
          <w:highlight w:val="none"/>
        </w:rPr>
      </w:pPr>
    </w:p>
    <w:p>
      <w:pPr>
        <w:pStyle w:val="12"/>
        <w:rPr>
          <w:rFonts w:hint="eastAsia" w:ascii="华文仿宋" w:hAnsi="华文仿宋" w:eastAsia="华文仿宋" w:cs="华文仿宋"/>
          <w:sz w:val="60"/>
          <w:szCs w:val="60"/>
          <w:highlight w:val="none"/>
        </w:rPr>
      </w:pPr>
      <w:r>
        <w:rPr>
          <w:rFonts w:hint="eastAsia" w:ascii="华文仿宋" w:hAnsi="华文仿宋" w:eastAsia="华文仿宋" w:cs="华文仿宋"/>
          <w:sz w:val="60"/>
          <w:szCs w:val="60"/>
          <w:highlight w:val="none"/>
        </w:rPr>
        <w:t>两院区饭卡结算系统二期项目</w:t>
      </w:r>
    </w:p>
    <w:p>
      <w:pPr>
        <w:pStyle w:val="12"/>
        <w:rPr>
          <w:rFonts w:ascii="华文仿宋" w:hAnsi="华文仿宋" w:eastAsia="华文仿宋" w:cs="华文仿宋"/>
          <w:sz w:val="60"/>
          <w:szCs w:val="60"/>
          <w:highlight w:val="none"/>
        </w:rPr>
      </w:pPr>
      <w:r>
        <w:rPr>
          <w:rFonts w:hint="eastAsia" w:ascii="华文仿宋" w:hAnsi="华文仿宋" w:eastAsia="华文仿宋" w:cs="华文仿宋"/>
          <w:sz w:val="60"/>
          <w:szCs w:val="60"/>
          <w:highlight w:val="none"/>
          <w:lang w:eastAsia="zh-CN"/>
        </w:rPr>
        <w:t>（</w:t>
      </w:r>
      <w:r>
        <w:rPr>
          <w:rFonts w:hint="eastAsia" w:ascii="华文仿宋" w:hAnsi="华文仿宋" w:eastAsia="华文仿宋" w:cs="华文仿宋"/>
          <w:sz w:val="60"/>
          <w:szCs w:val="60"/>
          <w:highlight w:val="none"/>
          <w:lang w:val="en-US" w:eastAsia="zh-CN"/>
        </w:rPr>
        <w:t>第二次）</w:t>
      </w:r>
    </w:p>
    <w:p>
      <w:pPr>
        <w:pStyle w:val="12"/>
        <w:rPr>
          <w:rFonts w:ascii="华文仿宋" w:hAnsi="华文仿宋" w:eastAsia="华文仿宋" w:cs="华文仿宋"/>
          <w:sz w:val="60"/>
          <w:szCs w:val="60"/>
          <w:highlight w:val="none"/>
        </w:rPr>
      </w:pPr>
    </w:p>
    <w:p>
      <w:pPr>
        <w:pStyle w:val="12"/>
        <w:rPr>
          <w:rFonts w:ascii="华文仿宋" w:hAnsi="华文仿宋" w:eastAsia="华文仿宋" w:cs="华文仿宋"/>
          <w:sz w:val="60"/>
          <w:szCs w:val="60"/>
          <w:highlight w:val="none"/>
        </w:rPr>
      </w:pPr>
    </w:p>
    <w:p>
      <w:pPr>
        <w:pStyle w:val="12"/>
        <w:rPr>
          <w:rFonts w:ascii="华文仿宋" w:hAnsi="华文仿宋" w:eastAsia="华文仿宋" w:cs="华文仿宋"/>
          <w:sz w:val="36"/>
          <w:highlight w:val="none"/>
        </w:rPr>
      </w:pPr>
      <w:r>
        <w:rPr>
          <w:rFonts w:hint="eastAsia" w:ascii="华文仿宋" w:hAnsi="华文仿宋" w:eastAsia="华文仿宋" w:cs="华文仿宋"/>
          <w:sz w:val="60"/>
          <w:szCs w:val="60"/>
          <w:highlight w:val="none"/>
        </w:rPr>
        <w:t>遴选文件</w:t>
      </w:r>
    </w:p>
    <w:p>
      <w:pPr>
        <w:pStyle w:val="15"/>
        <w:ind w:firstLine="360"/>
        <w:rPr>
          <w:rFonts w:ascii="华文仿宋" w:hAnsi="华文仿宋" w:eastAsia="华文仿宋" w:cs="华文仿宋"/>
          <w:b/>
          <w:sz w:val="36"/>
          <w:szCs w:val="20"/>
          <w:highlight w:val="none"/>
        </w:rPr>
      </w:pPr>
    </w:p>
    <w:p>
      <w:pPr>
        <w:tabs>
          <w:tab w:val="left" w:pos="3150"/>
        </w:tabs>
        <w:jc w:val="center"/>
        <w:rPr>
          <w:rFonts w:ascii="华文仿宋" w:hAnsi="华文仿宋" w:eastAsia="华文仿宋" w:cs="华文仿宋"/>
          <w:b/>
          <w:sz w:val="36"/>
          <w:szCs w:val="20"/>
          <w:highlight w:val="none"/>
        </w:rPr>
      </w:pPr>
    </w:p>
    <w:p>
      <w:pPr>
        <w:tabs>
          <w:tab w:val="left" w:pos="3150"/>
        </w:tabs>
        <w:jc w:val="center"/>
        <w:rPr>
          <w:rFonts w:ascii="华文仿宋" w:hAnsi="华文仿宋" w:eastAsia="华文仿宋" w:cs="华文仿宋"/>
          <w:b/>
          <w:sz w:val="36"/>
          <w:szCs w:val="20"/>
          <w:highlight w:val="none"/>
        </w:rPr>
      </w:pPr>
      <w:r>
        <w:rPr>
          <w:rFonts w:hint="eastAsia" w:ascii="华文仿宋" w:hAnsi="华文仿宋" w:eastAsia="华文仿宋" w:cs="华文仿宋"/>
          <w:b/>
          <w:sz w:val="36"/>
          <w:szCs w:val="20"/>
          <w:highlight w:val="none"/>
        </w:rPr>
        <w:t>遴选编号：2023-ETLXXB-001（第二次）</w:t>
      </w:r>
    </w:p>
    <w:p>
      <w:pPr>
        <w:pStyle w:val="12"/>
        <w:rPr>
          <w:rFonts w:ascii="华文仿宋" w:hAnsi="华文仿宋" w:eastAsia="华文仿宋" w:cs="华文仿宋"/>
          <w:sz w:val="36"/>
        </w:rPr>
      </w:pPr>
    </w:p>
    <w:p>
      <w:pPr>
        <w:pStyle w:val="12"/>
        <w:rPr>
          <w:rFonts w:ascii="华文仿宋" w:hAnsi="华文仿宋" w:eastAsia="华文仿宋" w:cs="华文仿宋"/>
          <w:sz w:val="36"/>
          <w:highlight w:val="none"/>
        </w:rPr>
      </w:pPr>
      <w:r>
        <w:rPr>
          <w:rFonts w:hint="eastAsia" w:ascii="华文仿宋" w:hAnsi="华文仿宋" w:eastAsia="华文仿宋" w:cs="华文仿宋"/>
          <w:sz w:val="36"/>
          <w:highlight w:val="none"/>
        </w:rPr>
        <w:t>2023年</w:t>
      </w:r>
      <w:r>
        <w:rPr>
          <w:rFonts w:hint="eastAsia" w:ascii="华文仿宋" w:hAnsi="华文仿宋" w:eastAsia="华文仿宋" w:cs="华文仿宋"/>
          <w:sz w:val="36"/>
          <w:highlight w:val="none"/>
          <w:lang w:val="en-US" w:eastAsia="zh-CN"/>
        </w:rPr>
        <w:t>5</w:t>
      </w:r>
      <w:r>
        <w:rPr>
          <w:rFonts w:hint="eastAsia" w:ascii="华文仿宋" w:hAnsi="华文仿宋" w:eastAsia="华文仿宋" w:cs="华文仿宋"/>
          <w:sz w:val="36"/>
          <w:highlight w:val="none"/>
        </w:rPr>
        <w:t>月</w:t>
      </w:r>
      <w:r>
        <w:rPr>
          <w:rFonts w:hint="eastAsia" w:ascii="华文仿宋" w:hAnsi="华文仿宋" w:eastAsia="华文仿宋" w:cs="华文仿宋"/>
          <w:sz w:val="36"/>
          <w:highlight w:val="none"/>
          <w:lang w:val="en-US" w:eastAsia="zh-CN"/>
        </w:rPr>
        <w:t>22</w:t>
      </w:r>
      <w:r>
        <w:rPr>
          <w:rFonts w:hint="eastAsia" w:ascii="华文仿宋" w:hAnsi="华文仿宋" w:eastAsia="华文仿宋" w:cs="华文仿宋"/>
          <w:sz w:val="36"/>
          <w:highlight w:val="none"/>
        </w:rPr>
        <w:t>日</w:t>
      </w:r>
    </w:p>
    <w:p>
      <w:pPr>
        <w:pStyle w:val="12"/>
        <w:rPr>
          <w:rFonts w:ascii="华文仿宋" w:hAnsi="华文仿宋" w:eastAsia="华文仿宋" w:cs="华文仿宋"/>
          <w:sz w:val="36"/>
        </w:rPr>
      </w:pPr>
    </w:p>
    <w:p>
      <w:pPr>
        <w:pStyle w:val="12"/>
        <w:jc w:val="both"/>
        <w:rPr>
          <w:rFonts w:ascii="宋体" w:hAnsi="宋体" w:eastAsia="宋体" w:cs="宋体"/>
          <w:sz w:val="36"/>
        </w:rPr>
      </w:pPr>
    </w:p>
    <w:p>
      <w:pPr>
        <w:pStyle w:val="24"/>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pPr>
        <w:tabs>
          <w:tab w:val="left" w:pos="3150"/>
        </w:tabs>
        <w:rPr>
          <w:rFonts w:ascii="宋体" w:hAnsi="宋体" w:cs="宋体"/>
          <w:sz w:val="24"/>
          <w:highlight w:val="none"/>
        </w:rPr>
      </w:pPr>
      <w:r>
        <w:rPr>
          <w:rFonts w:hint="eastAsia" w:ascii="宋体" w:hAnsi="宋体" w:cs="宋体"/>
          <w:sz w:val="24"/>
        </w:rPr>
        <w:t>遴选编号：</w:t>
      </w:r>
      <w:r>
        <w:rPr>
          <w:rFonts w:hint="eastAsia" w:ascii="宋体" w:hAnsi="宋体" w:cs="宋体"/>
          <w:sz w:val="24"/>
          <w:highlight w:val="none"/>
        </w:rPr>
        <w:t>2023-ETLXXB-001（第二次）</w:t>
      </w:r>
    </w:p>
    <w:p>
      <w:pPr>
        <w:pStyle w:val="25"/>
        <w:numPr>
          <w:ilvl w:val="0"/>
          <w:numId w:val="2"/>
        </w:numPr>
        <w:autoSpaceDE w:val="0"/>
        <w:autoSpaceDN w:val="0"/>
        <w:spacing w:line="36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根据医院有关规定，经院主管部门批准，拟对</w:t>
      </w:r>
      <w:r>
        <w:rPr>
          <w:rFonts w:hint="eastAsia" w:ascii="宋体" w:hAnsi="宋体" w:eastAsia="宋体" w:cs="宋体"/>
          <w:sz w:val="24"/>
          <w:szCs w:val="24"/>
          <w:highlight w:val="none"/>
          <w:shd w:val="clear" w:color="auto" w:fill="FFFFFF"/>
        </w:rPr>
        <w:t>上海市儿童医院两院饭卡结算系统二期项目（第二次）</w:t>
      </w:r>
      <w:r>
        <w:rPr>
          <w:rFonts w:hint="eastAsia" w:ascii="宋体" w:hAnsi="宋体" w:eastAsia="宋体" w:cs="宋体"/>
          <w:sz w:val="24"/>
          <w:szCs w:val="24"/>
          <w:highlight w:val="none"/>
        </w:rPr>
        <w:t>现以院内遴选采购的方式就下列所提供的货物和相关服务进行采购。</w:t>
      </w:r>
    </w:p>
    <w:p>
      <w:pPr>
        <w:pStyle w:val="25"/>
        <w:numPr>
          <w:ilvl w:val="0"/>
          <w:numId w:val="2"/>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 xml:space="preserve">遴选项目： </w:t>
      </w:r>
    </w:p>
    <w:tbl>
      <w:tblPr>
        <w:tblStyle w:val="17"/>
        <w:tblW w:w="8179" w:type="dxa"/>
        <w:tblInd w:w="777" w:type="dxa"/>
        <w:tblLayout w:type="autofit"/>
        <w:tblCellMar>
          <w:top w:w="0" w:type="dxa"/>
          <w:left w:w="108" w:type="dxa"/>
          <w:bottom w:w="0" w:type="dxa"/>
          <w:right w:w="108" w:type="dxa"/>
        </w:tblCellMar>
      </w:tblPr>
      <w:tblGrid>
        <w:gridCol w:w="1409"/>
        <w:gridCol w:w="6770"/>
      </w:tblGrid>
      <w:tr>
        <w:tblPrEx>
          <w:tblCellMar>
            <w:top w:w="0" w:type="dxa"/>
            <w:left w:w="108" w:type="dxa"/>
            <w:bottom w:w="0" w:type="dxa"/>
            <w:right w:w="108" w:type="dxa"/>
          </w:tblCellMar>
        </w:tblPrEx>
        <w:trPr>
          <w:trHeight w:val="497" w:hRule="exact"/>
        </w:trPr>
        <w:tc>
          <w:tcPr>
            <w:tcW w:w="14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highlight w:val="none"/>
              </w:rPr>
            </w:pPr>
            <w:r>
              <w:rPr>
                <w:rFonts w:hint="eastAsia" w:ascii="宋体" w:hAnsi="宋体" w:cs="宋体"/>
                <w:sz w:val="24"/>
                <w:highlight w:val="none"/>
              </w:rPr>
              <w:t>序号</w:t>
            </w:r>
          </w:p>
        </w:tc>
        <w:tc>
          <w:tcPr>
            <w:tcW w:w="67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highlight w:val="none"/>
              </w:rPr>
            </w:pPr>
            <w:r>
              <w:rPr>
                <w:rFonts w:hint="eastAsia" w:ascii="宋体" w:hAnsi="宋体" w:cs="宋体"/>
                <w:sz w:val="24"/>
                <w:highlight w:val="none"/>
              </w:rPr>
              <w:t>项目名称</w:t>
            </w:r>
          </w:p>
        </w:tc>
      </w:tr>
      <w:tr>
        <w:tblPrEx>
          <w:tblCellMar>
            <w:top w:w="0" w:type="dxa"/>
            <w:left w:w="108" w:type="dxa"/>
            <w:bottom w:w="0" w:type="dxa"/>
            <w:right w:w="108" w:type="dxa"/>
          </w:tblCellMar>
        </w:tblPrEx>
        <w:trPr>
          <w:trHeight w:val="842" w:hRule="exact"/>
        </w:trPr>
        <w:tc>
          <w:tcPr>
            <w:tcW w:w="14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highlight w:val="none"/>
              </w:rPr>
            </w:pPr>
            <w:r>
              <w:rPr>
                <w:rFonts w:hint="eastAsia" w:ascii="宋体" w:hAnsi="宋体" w:cs="宋体"/>
                <w:sz w:val="24"/>
                <w:highlight w:val="none"/>
              </w:rPr>
              <w:t>1</w:t>
            </w:r>
          </w:p>
        </w:tc>
        <w:tc>
          <w:tcPr>
            <w:tcW w:w="67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highlight w:val="none"/>
              </w:rPr>
            </w:pPr>
            <w:r>
              <w:rPr>
                <w:rFonts w:hint="eastAsia" w:ascii="宋体" w:hAnsi="宋体" w:cs="宋体"/>
                <w:sz w:val="24"/>
                <w:highlight w:val="none"/>
                <w:shd w:val="clear" w:color="auto" w:fill="FFFFFF"/>
              </w:rPr>
              <w:t>两院饭卡结算系统二期（第二次）</w:t>
            </w:r>
          </w:p>
        </w:tc>
      </w:tr>
    </w:tbl>
    <w:p>
      <w:pPr>
        <w:pStyle w:val="25"/>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投标人资质要求：</w:t>
      </w:r>
    </w:p>
    <w:p>
      <w:pPr>
        <w:pStyle w:val="25"/>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投标人为具有合法经营资质的独立法人、其他组织。</w:t>
      </w:r>
    </w:p>
    <w:p>
      <w:pPr>
        <w:pStyle w:val="25"/>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投标人在参加采购活动前三年内，在经营活动中没有重大违法记录，并提交《无重大违法记录承诺书》</w:t>
      </w:r>
      <w:r>
        <w:rPr>
          <w:rFonts w:hint="eastAsia" w:ascii="宋体" w:hAnsi="宋体" w:eastAsia="宋体" w:cs="宋体"/>
          <w:sz w:val="24"/>
          <w:szCs w:val="24"/>
        </w:rPr>
        <w:t>（详见遴选文件中附件6）</w:t>
      </w:r>
      <w:r>
        <w:rPr>
          <w:rFonts w:hint="eastAsia" w:ascii="宋体" w:hAnsi="宋体" w:eastAsia="宋体" w:cs="宋体"/>
          <w:bCs/>
          <w:sz w:val="24"/>
          <w:szCs w:val="24"/>
        </w:rPr>
        <w:t>。</w:t>
      </w:r>
    </w:p>
    <w:p>
      <w:pPr>
        <w:pStyle w:val="25"/>
        <w:numPr>
          <w:ilvl w:val="0"/>
          <w:numId w:val="3"/>
        </w:numPr>
        <w:autoSpaceDE w:val="0"/>
        <w:autoSpaceDN w:val="0"/>
        <w:spacing w:line="360" w:lineRule="exact"/>
        <w:jc w:val="left"/>
        <w:rPr>
          <w:rFonts w:ascii="宋体" w:hAnsi="宋体" w:eastAsia="宋体" w:cs="宋体"/>
          <w:sz w:val="24"/>
          <w:szCs w:val="24"/>
        </w:rPr>
      </w:pPr>
      <w:r>
        <w:rPr>
          <w:rFonts w:hint="eastAsia" w:ascii="宋体" w:hAnsi="宋体" w:eastAsia="宋体" w:cs="宋体"/>
          <w:bCs/>
          <w:sz w:val="24"/>
          <w:szCs w:val="24"/>
        </w:rPr>
        <w:t>投标人未被“信用中国”网站(www.creditchina.gov.cn)列入失信被执行人名单、重大税收违法案件当事人名单。</w:t>
      </w:r>
    </w:p>
    <w:p>
      <w:pPr>
        <w:pStyle w:val="25"/>
        <w:numPr>
          <w:ilvl w:val="0"/>
          <w:numId w:val="2"/>
        </w:numPr>
        <w:autoSpaceDE w:val="0"/>
        <w:autoSpaceDN w:val="0"/>
        <w:spacing w:line="360" w:lineRule="exact"/>
        <w:jc w:val="left"/>
        <w:rPr>
          <w:rFonts w:ascii="宋体" w:hAnsi="宋体" w:eastAsia="宋体" w:cs="宋体"/>
          <w:b/>
          <w:sz w:val="24"/>
          <w:szCs w:val="24"/>
        </w:rPr>
      </w:pPr>
      <w:bookmarkStart w:id="0" w:name="_Toc461613082"/>
      <w:bookmarkStart w:id="1" w:name="_Toc461613010"/>
      <w:r>
        <w:rPr>
          <w:rFonts w:hint="eastAsia" w:ascii="宋体" w:hAnsi="宋体" w:eastAsia="宋体" w:cs="宋体"/>
          <w:b/>
          <w:sz w:val="24"/>
          <w:szCs w:val="24"/>
        </w:rPr>
        <w:t>遴选响应文件要求</w:t>
      </w:r>
    </w:p>
    <w:p>
      <w:pPr>
        <w:pStyle w:val="25"/>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w:t>
      </w:r>
      <w:r>
        <w:rPr>
          <w:rFonts w:hint="eastAsia" w:ascii="宋体" w:hAnsi="宋体" w:eastAsia="宋体" w:cs="宋体"/>
          <w:sz w:val="24"/>
          <w:szCs w:val="24"/>
          <w:highlight w:val="none"/>
        </w:rPr>
        <w:t>于</w:t>
      </w:r>
      <w:r>
        <w:rPr>
          <w:rFonts w:hint="eastAsia" w:ascii="宋体" w:hAnsi="宋体" w:eastAsia="宋体" w:cs="宋体"/>
          <w:b/>
          <w:sz w:val="24"/>
          <w:szCs w:val="24"/>
          <w:highlight w:val="none"/>
        </w:rPr>
        <w:t>2023年</w:t>
      </w: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22</w:t>
      </w:r>
      <w:r>
        <w:rPr>
          <w:rFonts w:hint="eastAsia" w:ascii="宋体" w:hAnsi="宋体" w:eastAsia="宋体" w:cs="宋体"/>
          <w:b/>
          <w:sz w:val="24"/>
          <w:szCs w:val="24"/>
          <w:highlight w:val="none"/>
        </w:rPr>
        <w:t>日起至2023年</w:t>
      </w: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29</w:t>
      </w:r>
      <w:r>
        <w:rPr>
          <w:rFonts w:hint="eastAsia" w:ascii="宋体" w:hAnsi="宋体" w:eastAsia="宋体" w:cs="宋体"/>
          <w:b/>
          <w:sz w:val="24"/>
          <w:szCs w:val="24"/>
          <w:highlight w:val="none"/>
        </w:rPr>
        <w:t>日</w:t>
      </w:r>
      <w:r>
        <w:rPr>
          <w:rFonts w:hint="eastAsia" w:ascii="宋体" w:hAnsi="宋体" w:eastAsia="宋体" w:cs="宋体"/>
          <w:sz w:val="24"/>
          <w:szCs w:val="24"/>
        </w:rPr>
        <w:t>止上海市儿童医院官网中“医疗动态”栏的“招标公示”界面下(http://www.shchildren.com.cn/channels/95.html)自行下载遴选文件并于截止时间前完成“供应商平台”接待登记，接待部门请选择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25"/>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cstate="print"/>
                    <a:stretch>
                      <a:fillRect/>
                    </a:stretch>
                  </pic:blipFill>
                  <pic:spPr>
                    <a:xfrm>
                      <a:off x="0" y="0"/>
                      <a:ext cx="4366260" cy="1298575"/>
                    </a:xfrm>
                    <a:prstGeom prst="rect">
                      <a:avLst/>
                    </a:prstGeom>
                    <a:noFill/>
                    <a:ln>
                      <a:noFill/>
                    </a:ln>
                  </pic:spPr>
                </pic:pic>
              </a:graphicData>
            </a:graphic>
          </wp:anchor>
        </w:drawing>
      </w:r>
    </w:p>
    <w:p>
      <w:pPr>
        <w:pStyle w:val="25"/>
        <w:autoSpaceDE w:val="0"/>
        <w:autoSpaceDN w:val="0"/>
        <w:spacing w:line="360" w:lineRule="exact"/>
        <w:ind w:firstLine="0"/>
        <w:jc w:val="left"/>
        <w:rPr>
          <w:rFonts w:ascii="宋体" w:hAnsi="宋体" w:eastAsia="宋体" w:cs="宋体"/>
          <w:sz w:val="24"/>
          <w:szCs w:val="24"/>
        </w:rPr>
      </w:pPr>
    </w:p>
    <w:p>
      <w:pPr>
        <w:pStyle w:val="25"/>
        <w:autoSpaceDE w:val="0"/>
        <w:autoSpaceDN w:val="0"/>
        <w:spacing w:line="360" w:lineRule="exact"/>
        <w:ind w:firstLine="0"/>
        <w:jc w:val="left"/>
        <w:rPr>
          <w:rFonts w:ascii="宋体" w:hAnsi="宋体" w:eastAsia="宋体" w:cs="宋体"/>
          <w:sz w:val="24"/>
          <w:szCs w:val="24"/>
        </w:rPr>
      </w:pPr>
    </w:p>
    <w:p>
      <w:pPr>
        <w:pStyle w:val="25"/>
        <w:autoSpaceDE w:val="0"/>
        <w:autoSpaceDN w:val="0"/>
        <w:spacing w:line="360" w:lineRule="exact"/>
        <w:ind w:firstLine="0"/>
        <w:jc w:val="left"/>
        <w:rPr>
          <w:rFonts w:ascii="宋体" w:hAnsi="宋体" w:eastAsia="宋体" w:cs="宋体"/>
          <w:sz w:val="24"/>
          <w:szCs w:val="24"/>
        </w:rPr>
      </w:pPr>
    </w:p>
    <w:p>
      <w:pPr>
        <w:pStyle w:val="25"/>
        <w:autoSpaceDE w:val="0"/>
        <w:autoSpaceDN w:val="0"/>
        <w:spacing w:line="360" w:lineRule="exact"/>
        <w:ind w:firstLine="0"/>
        <w:jc w:val="left"/>
        <w:rPr>
          <w:rFonts w:ascii="宋体" w:hAnsi="宋体" w:eastAsia="宋体" w:cs="宋体"/>
          <w:sz w:val="24"/>
          <w:szCs w:val="24"/>
        </w:rPr>
      </w:pPr>
    </w:p>
    <w:p>
      <w:pPr>
        <w:pStyle w:val="25"/>
        <w:autoSpaceDE w:val="0"/>
        <w:autoSpaceDN w:val="0"/>
        <w:spacing w:line="360" w:lineRule="exact"/>
        <w:ind w:firstLine="0"/>
        <w:jc w:val="left"/>
        <w:rPr>
          <w:rFonts w:ascii="宋体" w:hAnsi="宋体" w:eastAsia="宋体" w:cs="宋体"/>
          <w:sz w:val="24"/>
          <w:szCs w:val="24"/>
        </w:rPr>
      </w:pPr>
    </w:p>
    <w:p>
      <w:pPr>
        <w:pStyle w:val="25"/>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遴选采购报价表、公司（企业）营业执照、法人代表授权书、系统详细的功能、售后服务承诺书、类似项目案例、“信用中国”查询截图、无重大违法记录承诺书、无行贿犯罪记录声明函、服务方案的复印件加盖公司公章。</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b/>
          <w:bCs/>
          <w:sz w:val="24"/>
          <w:szCs w:val="24"/>
        </w:rPr>
        <w:t>资格证明文件</w:t>
      </w:r>
      <w:r>
        <w:rPr>
          <w:rFonts w:hint="eastAsia" w:ascii="宋体" w:hAnsi="宋体" w:eastAsia="宋体" w:cs="宋体"/>
          <w:sz w:val="24"/>
          <w:szCs w:val="24"/>
        </w:rPr>
        <w:t>包括：供应商的资格文件（三证合一的企业法人营业执照、法人代表授权书）等相关证明的复印件（附件2法人授权格式）；</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系统详细功能：包括提供的信息系统详细的功能清单及技术参数响应情况，并填写技术参数偏离表（详见遴选文件中附件3）；</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售后服务承诺书：请写明质保期的时间、保修内容、维修服务响应时间、出保后的维修费用、培训等（格式自拟）；</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用户名单：近3年以来投标人承接的同类项目案例的用户名单，并提供联系人及联系方式（附合同摘要）（详见遴选文件中附件4）；</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供应商需提供在“信用中国”网站（www.creditchina.gov.cn）上的查询结果截图（详见遴选文件中附件5）；</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无重大违法记录承诺书（详见遴选文件中附件6）；</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无行贿犯罪记录声明函（详见遴选文件中附件7）；</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服务方案：包括总体解决方案、实施计划、项目管理计划、质量保证计划、项目风险控制措施、服务能力介绍、售后服务方案等。</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投标人认为有必要说明的其他文件。</w:t>
      </w:r>
    </w:p>
    <w:p>
      <w:pPr>
        <w:pStyle w:val="25"/>
        <w:numPr>
          <w:ilvl w:val="0"/>
          <w:numId w:val="4"/>
        </w:numPr>
        <w:autoSpaceDE w:val="0"/>
        <w:autoSpaceDN w:val="0"/>
        <w:spacing w:line="360" w:lineRule="exact"/>
        <w:ind w:left="840"/>
        <w:jc w:val="left"/>
        <w:rPr>
          <w:rFonts w:ascii="宋体" w:hAnsi="宋体" w:eastAsia="宋体" w:cs="宋体"/>
          <w:sz w:val="24"/>
          <w:szCs w:val="24"/>
        </w:rPr>
      </w:pPr>
      <w:r>
        <w:rPr>
          <w:rFonts w:hint="eastAsia" w:ascii="宋体" w:hAnsi="宋体" w:eastAsia="宋体" w:cs="宋体"/>
          <w:sz w:val="24"/>
          <w:szCs w:val="24"/>
        </w:rPr>
        <w:t>遴选响应文件的份数：纸质正本1份，电子版1份（所有资料必须以档案袋密封,密封处加盖公司骑缝公章,且非格式报价单、开口报价单均无效,不符合以上要求的资料一律作为无效资料处理,不具备遴选资格。电子版文件请按照“遴选编号-项目名称-公司名称投标文件”命名，</w:t>
      </w:r>
      <w:r>
        <w:rPr>
          <w:rFonts w:hint="eastAsia" w:ascii="宋体" w:hAnsi="宋体" w:eastAsia="宋体" w:cs="宋体"/>
          <w:sz w:val="24"/>
          <w:szCs w:val="24"/>
          <w:u w:val="single"/>
        </w:rPr>
        <w:t>开标后</w:t>
      </w:r>
      <w:r>
        <w:rPr>
          <w:rFonts w:hint="eastAsia" w:ascii="宋体" w:hAnsi="宋体" w:eastAsia="宋体" w:cs="宋体"/>
          <w:sz w:val="24"/>
          <w:szCs w:val="24"/>
        </w:rPr>
        <w:t>发送至邮箱</w:t>
      </w:r>
      <w:r>
        <w:fldChar w:fldCharType="begin"/>
      </w:r>
      <w:r>
        <w:instrText xml:space="preserve"> HYPERLINK "mailto:liyi@shchildren.com.cn" </w:instrText>
      </w:r>
      <w:r>
        <w:fldChar w:fldCharType="separate"/>
      </w:r>
      <w:r>
        <w:rPr>
          <w:rStyle w:val="21"/>
          <w:rFonts w:ascii="宋体"/>
          <w:szCs w:val="21"/>
        </w:rPr>
        <w:t>liyi@shchildren.com.cn</w:t>
      </w:r>
      <w:r>
        <w:rPr>
          <w:rStyle w:val="21"/>
          <w:rFonts w:ascii="宋体"/>
          <w:szCs w:val="21"/>
        </w:rPr>
        <w:fldChar w:fldCharType="end"/>
      </w:r>
      <w:r>
        <w:rPr>
          <w:rFonts w:hint="eastAsia" w:ascii="宋体" w:hAnsi="宋体" w:eastAsia="宋体" w:cs="宋体"/>
          <w:sz w:val="24"/>
          <w:szCs w:val="24"/>
        </w:rPr>
        <w:t>）。</w:t>
      </w:r>
    </w:p>
    <w:p>
      <w:pPr>
        <w:pStyle w:val="25"/>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25"/>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pPr>
        <w:pStyle w:val="25"/>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pPr>
        <w:pStyle w:val="25"/>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21"/>
          <w:rFonts w:ascii="宋体"/>
          <w:szCs w:val="21"/>
        </w:rPr>
        <w:t>liyi@shchildren.com.cn</w:t>
      </w:r>
      <w:r>
        <w:rPr>
          <w:rFonts w:ascii="宋体"/>
          <w:szCs w:val="21"/>
        </w:rPr>
        <w:fldChar w:fldCharType="end"/>
      </w:r>
    </w:p>
    <w:p>
      <w:pPr>
        <w:pStyle w:val="25"/>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16"/>
        <w:numPr>
          <w:ilvl w:val="0"/>
          <w:numId w:val="5"/>
        </w:numPr>
        <w:spacing w:line="288" w:lineRule="auto"/>
        <w:rPr>
          <w:rFonts w:cs="宋体"/>
          <w:shd w:val="clear" w:color="auto" w:fill="auto"/>
        </w:rPr>
      </w:pPr>
      <w:r>
        <w:rPr>
          <w:rFonts w:hint="eastAsia" w:cs="宋体"/>
          <w:shd w:val="clear" w:color="auto" w:fill="auto"/>
        </w:rPr>
        <w:t>所有遴选响应文件务必</w:t>
      </w:r>
      <w:r>
        <w:rPr>
          <w:rFonts w:hint="eastAsia" w:cs="宋体"/>
          <w:highlight w:val="none"/>
          <w:shd w:val="clear" w:color="auto" w:fill="auto"/>
        </w:rPr>
        <w:t>须排版胶装并按要求以档案袋密封后于2023年</w:t>
      </w:r>
      <w:r>
        <w:rPr>
          <w:rFonts w:hint="eastAsia" w:cs="宋体"/>
          <w:highlight w:val="none"/>
          <w:shd w:val="clear" w:color="auto" w:fill="auto"/>
          <w:lang w:val="en-US" w:eastAsia="zh-CN"/>
        </w:rPr>
        <w:t>5</w:t>
      </w:r>
      <w:r>
        <w:rPr>
          <w:rFonts w:hint="eastAsia" w:cs="宋体"/>
          <w:highlight w:val="none"/>
          <w:shd w:val="clear" w:color="auto" w:fill="auto"/>
        </w:rPr>
        <w:t>月</w:t>
      </w:r>
      <w:r>
        <w:rPr>
          <w:rFonts w:hint="eastAsia" w:cs="宋体"/>
          <w:highlight w:val="none"/>
          <w:shd w:val="clear" w:color="auto" w:fill="auto"/>
          <w:lang w:val="en-US" w:eastAsia="zh-CN"/>
        </w:rPr>
        <w:t>29</w:t>
      </w:r>
      <w:r>
        <w:rPr>
          <w:rFonts w:hint="eastAsia" w:cs="宋体"/>
          <w:highlight w:val="none"/>
          <w:shd w:val="clear" w:color="auto" w:fill="auto"/>
        </w:rPr>
        <w:t>日北京时间1</w:t>
      </w:r>
      <w:r>
        <w:rPr>
          <w:rFonts w:hint="eastAsia" w:cs="宋体"/>
          <w:highlight w:val="none"/>
          <w:shd w:val="clear" w:color="auto" w:fill="auto"/>
          <w:lang w:val="en-US" w:eastAsia="zh-CN"/>
        </w:rPr>
        <w:t>4</w:t>
      </w:r>
      <w:r>
        <w:rPr>
          <w:rFonts w:hint="eastAsia" w:cs="宋体"/>
          <w:highlight w:val="none"/>
          <w:shd w:val="clear" w:color="auto" w:fill="auto"/>
        </w:rPr>
        <w:t>:</w:t>
      </w:r>
      <w:r>
        <w:rPr>
          <w:rFonts w:hint="eastAsia" w:cs="宋体"/>
          <w:highlight w:val="none"/>
          <w:shd w:val="clear" w:color="auto" w:fill="auto"/>
          <w:lang w:val="en-US" w:eastAsia="zh-CN"/>
        </w:rPr>
        <w:t>0</w:t>
      </w:r>
      <w:r>
        <w:rPr>
          <w:rFonts w:hint="eastAsia" w:cs="宋体"/>
          <w:highlight w:val="none"/>
          <w:shd w:val="clear" w:color="auto" w:fill="auto"/>
        </w:rPr>
        <w:t>0</w:t>
      </w:r>
      <w:r>
        <w:rPr>
          <w:rFonts w:hint="eastAsia" w:cs="宋体"/>
          <w:highlight w:val="none"/>
          <w:shd w:val="clear" w:color="auto" w:fill="auto"/>
        </w:rPr>
        <w:t>前提交上海市泸定路355号住院部503会议室，并于</w:t>
      </w:r>
      <w:r>
        <w:rPr>
          <w:rFonts w:hint="eastAsia" w:cs="宋体"/>
          <w:highlight w:val="none"/>
          <w:u w:val="single"/>
          <w:shd w:val="clear" w:color="auto" w:fill="auto"/>
        </w:rPr>
        <w:t>2023年</w:t>
      </w:r>
      <w:r>
        <w:rPr>
          <w:rFonts w:hint="eastAsia" w:cs="宋体"/>
          <w:highlight w:val="none"/>
          <w:u w:val="single"/>
          <w:shd w:val="clear" w:color="auto" w:fill="auto"/>
          <w:lang w:val="en-US" w:eastAsia="zh-CN"/>
        </w:rPr>
        <w:t>5</w:t>
      </w:r>
      <w:r>
        <w:rPr>
          <w:rFonts w:hint="eastAsia" w:cs="宋体"/>
          <w:highlight w:val="none"/>
          <w:u w:val="single"/>
          <w:shd w:val="clear" w:color="auto" w:fill="auto"/>
        </w:rPr>
        <w:t>月</w:t>
      </w:r>
      <w:r>
        <w:rPr>
          <w:rFonts w:hint="eastAsia" w:cs="宋体"/>
          <w:highlight w:val="none"/>
          <w:u w:val="single"/>
          <w:shd w:val="clear" w:color="auto" w:fill="auto"/>
          <w:lang w:val="en-US" w:eastAsia="zh-CN"/>
        </w:rPr>
        <w:t>29</w:t>
      </w:r>
      <w:r>
        <w:rPr>
          <w:rFonts w:hint="eastAsia" w:cs="宋体"/>
          <w:highlight w:val="none"/>
          <w:u w:val="single"/>
          <w:shd w:val="clear" w:color="auto" w:fill="auto"/>
        </w:rPr>
        <w:t>日北京时间1</w:t>
      </w:r>
      <w:r>
        <w:rPr>
          <w:rFonts w:hint="eastAsia" w:cs="宋体"/>
          <w:highlight w:val="none"/>
          <w:u w:val="single"/>
          <w:shd w:val="clear" w:color="auto" w:fill="auto"/>
          <w:lang w:val="en-US" w:eastAsia="zh-CN"/>
        </w:rPr>
        <w:t>4</w:t>
      </w:r>
      <w:r>
        <w:rPr>
          <w:rFonts w:hint="eastAsia" w:cs="宋体"/>
          <w:highlight w:val="none"/>
          <w:u w:val="single"/>
          <w:shd w:val="clear" w:color="auto" w:fill="auto"/>
        </w:rPr>
        <w:t>:</w:t>
      </w:r>
      <w:r>
        <w:rPr>
          <w:rFonts w:hint="eastAsia" w:cs="宋体"/>
          <w:highlight w:val="none"/>
          <w:u w:val="single"/>
          <w:shd w:val="clear" w:color="auto" w:fill="auto"/>
          <w:lang w:val="en-US" w:eastAsia="zh-CN"/>
        </w:rPr>
        <w:t>0</w:t>
      </w:r>
      <w:r>
        <w:rPr>
          <w:rFonts w:hint="eastAsia" w:cs="宋体"/>
          <w:highlight w:val="none"/>
          <w:u w:val="single"/>
          <w:shd w:val="clear" w:color="auto" w:fill="auto"/>
        </w:rPr>
        <w:t>0</w:t>
      </w:r>
      <w:r>
        <w:rPr>
          <w:rFonts w:hint="eastAsia" w:cs="宋体"/>
          <w:shd w:val="clear" w:color="auto" w:fill="auto"/>
        </w:rPr>
        <w:t>在上海市泸定路355号</w:t>
      </w:r>
      <w:r>
        <w:rPr>
          <w:rFonts w:hint="eastAsia" w:cs="宋体"/>
          <w:u w:val="single"/>
          <w:shd w:val="clear" w:color="auto" w:fill="auto"/>
        </w:rPr>
        <w:t>住院部503会议室</w:t>
      </w:r>
      <w:r>
        <w:rPr>
          <w:rFonts w:hint="eastAsia" w:cs="宋体"/>
          <w:shd w:val="clear" w:color="auto" w:fill="auto"/>
        </w:rPr>
        <w:t>举行遴选开标，届时投标人可派代表出席开标会。</w:t>
      </w:r>
    </w:p>
    <w:p>
      <w:pPr>
        <w:pStyle w:val="16"/>
        <w:numPr>
          <w:ilvl w:val="0"/>
          <w:numId w:val="5"/>
        </w:numPr>
        <w:spacing w:line="288" w:lineRule="auto"/>
        <w:jc w:val="left"/>
        <w:rPr>
          <w:rFonts w:cs="宋体"/>
          <w:shd w:val="clear" w:color="auto" w:fill="auto"/>
        </w:rPr>
      </w:pPr>
      <w:r>
        <w:rPr>
          <w:rFonts w:hint="eastAsia" w:cs="宋体"/>
          <w:shd w:val="clear" w:color="auto" w:fill="auto"/>
        </w:rPr>
        <w:t>欲参与遴选的公司请于截止时间前点击如下链接完成遴选报名表。</w:t>
      </w:r>
      <w:r>
        <w:rPr>
          <w:rFonts w:hint="eastAsia" w:cs="宋体"/>
          <w:u w:val="single"/>
          <w:shd w:val="clear" w:color="auto" w:fill="auto"/>
        </w:rPr>
        <w:t xml:space="preserve">https://www.wjx.top/vm/PpfMXzR.aspx# </w:t>
      </w:r>
    </w:p>
    <w:p>
      <w:pPr>
        <w:pStyle w:val="25"/>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16"/>
        <w:numPr>
          <w:ilvl w:val="0"/>
          <w:numId w:val="6"/>
        </w:numPr>
        <w:spacing w:line="288" w:lineRule="auto"/>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pPr>
        <w:pStyle w:val="16"/>
        <w:numPr>
          <w:ilvl w:val="0"/>
          <w:numId w:val="6"/>
        </w:numPr>
        <w:spacing w:line="288" w:lineRule="auto"/>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17"/>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942"/>
        <w:gridCol w:w="6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3"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498"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588"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3" w:type="pct"/>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498" w:type="pct"/>
            <w:vAlign w:val="center"/>
          </w:tcPr>
          <w:p>
            <w:pPr>
              <w:spacing w:line="360" w:lineRule="auto"/>
              <w:ind w:left="-91"/>
              <w:jc w:val="center"/>
              <w:rPr>
                <w:rFonts w:ascii="宋体" w:hAnsi="宋体" w:cs="宋体"/>
                <w:b/>
                <w:spacing w:val="8"/>
                <w:kern w:val="0"/>
                <w:sz w:val="24"/>
              </w:rPr>
            </w:pPr>
            <w:r>
              <w:rPr>
                <w:rFonts w:hint="eastAsia" w:ascii="宋体" w:hAnsi="宋体"/>
                <w:sz w:val="24"/>
              </w:rPr>
              <w:t>20分</w:t>
            </w:r>
          </w:p>
        </w:tc>
        <w:tc>
          <w:tcPr>
            <w:tcW w:w="3588" w:type="pct"/>
            <w:vAlign w:val="center"/>
          </w:tcPr>
          <w:p>
            <w:pPr>
              <w:spacing w:line="360" w:lineRule="auto"/>
              <w:jc w:val="left"/>
              <w:rPr>
                <w:rFonts w:ascii="宋体" w:hAnsi="宋体"/>
                <w:sz w:val="24"/>
              </w:rPr>
            </w:pPr>
            <w:r>
              <w:rPr>
                <w:rFonts w:hint="eastAsia" w:ascii="宋体" w:hAnsi="宋体" w:cs="宋体"/>
                <w:sz w:val="24"/>
              </w:rPr>
              <w:t>以满足招标文件要求且投标价格</w:t>
            </w:r>
            <w:r>
              <w:rPr>
                <w:rFonts w:hint="eastAsia" w:ascii="宋体" w:hAnsi="宋体" w:cs="宋体"/>
                <w:sz w:val="24"/>
                <w:lang w:eastAsia="zh-Hans"/>
              </w:rPr>
              <w:t>平均</w:t>
            </w:r>
            <w:r>
              <w:rPr>
                <w:rFonts w:hint="eastAsia" w:ascii="宋体" w:hAnsi="宋体" w:cs="宋体"/>
                <w:sz w:val="24"/>
              </w:rPr>
              <w:t>投标报价为评标基准价，其价格分为满分；其他供应商的价格分统一按照下列公示计算：投标报价得分=(评标基准价／投标报价)</w:t>
            </w:r>
            <w:r>
              <w:rPr>
                <w:rFonts w:hint="eastAsia" w:ascii="宋体" w:hAnsi="宋体" w:cs="宋体"/>
                <w:color w:val="auto"/>
                <w:sz w:val="24"/>
              </w:rPr>
              <w:t>×</w:t>
            </w:r>
            <w:r>
              <w:rPr>
                <w:rFonts w:ascii="宋体" w:hAnsi="宋体" w:cs="宋体"/>
                <w:color w:val="auto"/>
                <w:sz w:val="24"/>
              </w:rPr>
              <w:t>20</w:t>
            </w:r>
            <w:r>
              <w:rPr>
                <w:rFonts w:hint="eastAsia" w:ascii="宋体" w:hAnsi="宋体" w:cs="宋体"/>
                <w:color w:val="auto"/>
                <w:sz w:val="24"/>
              </w:rPr>
              <w:t>×</w:t>
            </w: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3" w:type="pct"/>
          </w:tcPr>
          <w:p>
            <w:pPr>
              <w:spacing w:line="360" w:lineRule="auto"/>
              <w:ind w:left="-91"/>
              <w:jc w:val="left"/>
              <w:rPr>
                <w:rFonts w:ascii="宋体" w:hAnsi="宋体"/>
                <w:sz w:val="24"/>
              </w:rPr>
            </w:pPr>
            <w:r>
              <w:rPr>
                <w:rFonts w:hint="eastAsia" w:ascii="宋体" w:hAnsi="宋体"/>
                <w:sz w:val="24"/>
              </w:rPr>
              <w:t>二、商务部分</w:t>
            </w:r>
          </w:p>
        </w:tc>
        <w:tc>
          <w:tcPr>
            <w:tcW w:w="498" w:type="pct"/>
            <w:vAlign w:val="center"/>
          </w:tcPr>
          <w:p>
            <w:pPr>
              <w:spacing w:line="360" w:lineRule="auto"/>
              <w:ind w:left="-91"/>
              <w:jc w:val="center"/>
              <w:rPr>
                <w:rFonts w:ascii="宋体" w:hAnsi="宋体"/>
                <w:sz w:val="24"/>
              </w:rPr>
            </w:pPr>
            <w:r>
              <w:rPr>
                <w:rFonts w:hint="eastAsia" w:ascii="宋体" w:hAnsi="宋体"/>
                <w:sz w:val="24"/>
              </w:rPr>
              <w:t>20分</w:t>
            </w:r>
          </w:p>
        </w:tc>
        <w:tc>
          <w:tcPr>
            <w:tcW w:w="3588" w:type="pct"/>
            <w:vAlign w:val="center"/>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913" w:type="pct"/>
          </w:tcPr>
          <w:p>
            <w:pPr>
              <w:spacing w:line="360" w:lineRule="auto"/>
              <w:ind w:left="-91"/>
              <w:jc w:val="left"/>
              <w:rPr>
                <w:rFonts w:ascii="宋体" w:hAnsi="宋体"/>
                <w:sz w:val="24"/>
              </w:rPr>
            </w:pPr>
            <w:r>
              <w:rPr>
                <w:rFonts w:hint="eastAsia" w:ascii="宋体" w:hAnsi="宋体"/>
                <w:sz w:val="24"/>
              </w:rPr>
              <w:t>1、类似项目业绩</w:t>
            </w:r>
          </w:p>
        </w:tc>
        <w:tc>
          <w:tcPr>
            <w:tcW w:w="498" w:type="pct"/>
            <w:vAlign w:val="center"/>
          </w:tcPr>
          <w:p>
            <w:pPr>
              <w:spacing w:line="360" w:lineRule="auto"/>
              <w:ind w:left="-91"/>
              <w:jc w:val="center"/>
              <w:rPr>
                <w:rFonts w:ascii="宋体" w:hAnsi="宋体"/>
                <w:sz w:val="24"/>
              </w:rPr>
            </w:pPr>
            <w:r>
              <w:rPr>
                <w:rFonts w:hint="eastAsia" w:ascii="宋体" w:hAnsi="宋体"/>
                <w:sz w:val="24"/>
              </w:rPr>
              <w:t>9分</w:t>
            </w:r>
          </w:p>
        </w:tc>
        <w:tc>
          <w:tcPr>
            <w:tcW w:w="3588" w:type="pct"/>
          </w:tcPr>
          <w:p>
            <w:pPr>
              <w:spacing w:line="360" w:lineRule="auto"/>
              <w:rPr>
                <w:rFonts w:ascii="宋体" w:hAnsi="宋体"/>
                <w:sz w:val="24"/>
              </w:rPr>
            </w:pPr>
            <w:r>
              <w:rPr>
                <w:rFonts w:hint="eastAsia" w:ascii="宋体" w:hAnsi="宋体" w:cs="宋体"/>
                <w:sz w:val="24"/>
              </w:rPr>
              <w:t>投标人近三年（从2020年1月1日至今，以合同签订日期为准）具有</w:t>
            </w:r>
            <w:r>
              <w:rPr>
                <w:rFonts w:hint="eastAsia" w:ascii="宋体" w:hAnsi="宋体" w:cs="宋体"/>
                <w:sz w:val="24"/>
                <w:lang w:eastAsia="zh-Hans"/>
              </w:rPr>
              <w:t>智慧营养膳食</w:t>
            </w:r>
            <w:r>
              <w:rPr>
                <w:rFonts w:hint="eastAsia" w:ascii="宋体" w:hAnsi="宋体" w:cs="宋体"/>
                <w:sz w:val="24"/>
              </w:rPr>
              <w:t>项目</w:t>
            </w:r>
            <w:r>
              <w:rPr>
                <w:rFonts w:hint="eastAsia" w:ascii="宋体" w:hAnsi="宋体" w:cs="宋体"/>
                <w:sz w:val="24"/>
                <w:lang w:eastAsia="zh-Hans"/>
              </w:rPr>
              <w:t>项目合同</w:t>
            </w:r>
            <w:r>
              <w:rPr>
                <w:rFonts w:hint="eastAsia" w:ascii="宋体" w:hAnsi="宋体" w:cs="宋体"/>
                <w:sz w:val="24"/>
              </w:rPr>
              <w:t>，以合同复印件为准，复印件中需体现合同的签约主体、项目名称及内容、签约日期等合同要素的相关内容，否则将不予认可。每提供一</w:t>
            </w:r>
            <w:r>
              <w:rPr>
                <w:rFonts w:hint="eastAsia" w:ascii="宋体" w:hAnsi="宋体" w:cs="宋体"/>
                <w:sz w:val="24"/>
                <w:lang w:eastAsia="zh-Hans"/>
              </w:rPr>
              <w:t>份</w:t>
            </w:r>
            <w:r>
              <w:rPr>
                <w:rFonts w:hint="eastAsia" w:ascii="宋体" w:hAnsi="宋体" w:cs="宋体"/>
                <w:sz w:val="24"/>
              </w:rPr>
              <w:t>得1分，最多得</w:t>
            </w:r>
            <w:r>
              <w:rPr>
                <w:rFonts w:ascii="宋体" w:hAnsi="宋体" w:cs="宋体"/>
                <w:sz w:val="24"/>
              </w:rPr>
              <w:t>9</w:t>
            </w:r>
            <w:r>
              <w:rPr>
                <w:rFonts w:hint="eastAsia" w:ascii="宋体" w:hAnsi="宋体" w:cs="宋体"/>
                <w:sz w:val="24"/>
              </w:rPr>
              <w:t>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913" w:type="pct"/>
          </w:tcPr>
          <w:p>
            <w:pPr>
              <w:spacing w:line="312" w:lineRule="auto"/>
              <w:jc w:val="left"/>
              <w:rPr>
                <w:rFonts w:ascii="宋体" w:hAnsi="宋体" w:cs="宋体"/>
                <w:sz w:val="24"/>
              </w:rPr>
            </w:pPr>
            <w:r>
              <w:rPr>
                <w:rFonts w:hint="eastAsia" w:ascii="宋体" w:hAnsi="宋体" w:cs="宋体"/>
                <w:sz w:val="24"/>
              </w:rPr>
              <w:t>2、项目对接</w:t>
            </w:r>
          </w:p>
          <w:p>
            <w:pPr>
              <w:spacing w:line="360" w:lineRule="auto"/>
              <w:ind w:left="-91"/>
              <w:jc w:val="left"/>
              <w:rPr>
                <w:rFonts w:ascii="宋体" w:hAnsi="宋体"/>
                <w:sz w:val="24"/>
              </w:rPr>
            </w:pPr>
            <w:r>
              <w:rPr>
                <w:rFonts w:hint="eastAsia" w:ascii="宋体" w:hAnsi="宋体" w:cs="宋体"/>
                <w:sz w:val="24"/>
              </w:rPr>
              <w:t>能力</w:t>
            </w:r>
          </w:p>
        </w:tc>
        <w:tc>
          <w:tcPr>
            <w:tcW w:w="498" w:type="pct"/>
            <w:vAlign w:val="center"/>
          </w:tcPr>
          <w:p>
            <w:pPr>
              <w:spacing w:line="360" w:lineRule="auto"/>
              <w:ind w:left="-91"/>
              <w:jc w:val="center"/>
              <w:rPr>
                <w:rFonts w:ascii="宋体" w:hAnsi="宋体"/>
                <w:sz w:val="24"/>
              </w:rPr>
            </w:pPr>
            <w:r>
              <w:rPr>
                <w:rFonts w:hint="eastAsia" w:ascii="宋体" w:hAnsi="宋体"/>
                <w:sz w:val="24"/>
              </w:rPr>
              <w:t>3分</w:t>
            </w:r>
          </w:p>
        </w:tc>
        <w:tc>
          <w:tcPr>
            <w:tcW w:w="3588" w:type="pct"/>
          </w:tcPr>
          <w:p>
            <w:pPr>
              <w:spacing w:line="360" w:lineRule="auto"/>
              <w:rPr>
                <w:rFonts w:ascii="宋体" w:hAnsi="宋体"/>
                <w:sz w:val="24"/>
              </w:rPr>
            </w:pPr>
            <w:r>
              <w:rPr>
                <w:rFonts w:hint="eastAsia" w:ascii="宋体" w:hAnsi="宋体" w:cs="宋体"/>
                <w:sz w:val="24"/>
              </w:rPr>
              <w:t>投标人所投产品在三甲医院与HIS公司有系统成功对接并运行稳定的经验，每提供一个得1分，最多得3分。以提供医院相关部门出具的证明材料复印件为准。（原件备查）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913" w:type="pct"/>
          </w:tcPr>
          <w:p>
            <w:pPr>
              <w:spacing w:line="280" w:lineRule="exact"/>
              <w:jc w:val="left"/>
              <w:rPr>
                <w:rFonts w:ascii="宋体" w:hAnsi="宋体" w:cs="宋体"/>
                <w:sz w:val="24"/>
              </w:rPr>
            </w:pPr>
            <w:r>
              <w:rPr>
                <w:rFonts w:hint="eastAsia" w:ascii="宋体" w:hAnsi="宋体" w:cs="宋体"/>
                <w:sz w:val="24"/>
              </w:rPr>
              <w:t>3、项目组织</w:t>
            </w:r>
          </w:p>
          <w:p>
            <w:pPr>
              <w:spacing w:line="360" w:lineRule="auto"/>
              <w:ind w:left="-91"/>
              <w:jc w:val="left"/>
              <w:rPr>
                <w:rFonts w:ascii="宋体" w:hAnsi="宋体"/>
                <w:sz w:val="24"/>
              </w:rPr>
            </w:pPr>
            <w:r>
              <w:rPr>
                <w:rFonts w:hint="eastAsia" w:ascii="宋体" w:hAnsi="宋体" w:cs="宋体"/>
                <w:sz w:val="24"/>
              </w:rPr>
              <w:t>实施</w:t>
            </w:r>
          </w:p>
        </w:tc>
        <w:tc>
          <w:tcPr>
            <w:tcW w:w="498" w:type="pct"/>
            <w:vAlign w:val="center"/>
          </w:tcPr>
          <w:p>
            <w:pPr>
              <w:spacing w:line="360" w:lineRule="auto"/>
              <w:ind w:left="-91"/>
              <w:jc w:val="center"/>
              <w:rPr>
                <w:rFonts w:ascii="宋体" w:hAnsi="宋体"/>
                <w:sz w:val="24"/>
              </w:rPr>
            </w:pPr>
            <w:r>
              <w:rPr>
                <w:rFonts w:hint="eastAsia" w:ascii="宋体" w:hAnsi="宋体"/>
                <w:sz w:val="24"/>
              </w:rPr>
              <w:t>6分</w:t>
            </w:r>
          </w:p>
        </w:tc>
        <w:tc>
          <w:tcPr>
            <w:tcW w:w="3588" w:type="pct"/>
          </w:tcPr>
          <w:p>
            <w:pPr>
              <w:spacing w:line="360" w:lineRule="auto"/>
              <w:rPr>
                <w:rFonts w:ascii="宋体" w:hAnsi="宋体" w:cs="宋体"/>
                <w:sz w:val="24"/>
              </w:rPr>
            </w:pPr>
            <w:r>
              <w:rPr>
                <w:rFonts w:hint="eastAsia" w:ascii="宋体" w:hAnsi="宋体" w:cs="宋体"/>
                <w:sz w:val="24"/>
                <w:lang w:eastAsia="zh-Hans"/>
              </w:rPr>
              <w:t>根据投标人所</w:t>
            </w:r>
            <w:r>
              <w:rPr>
                <w:rFonts w:hint="eastAsia" w:ascii="宋体" w:hAnsi="宋体" w:cs="宋体"/>
                <w:sz w:val="24"/>
              </w:rPr>
              <w:t>提供能保证工期的施工组织方案和措施，设备质量措施的情况以及安装、软硬件集成、现有系统对接、调试、验收的方案和措施的合理性</w:t>
            </w:r>
            <w:r>
              <w:rPr>
                <w:rFonts w:hint="eastAsia" w:ascii="宋体" w:hAnsi="宋体" w:cs="宋体"/>
                <w:sz w:val="24"/>
                <w:lang w:eastAsia="zh-Hans"/>
              </w:rPr>
              <w:t>以及</w:t>
            </w:r>
            <w:r>
              <w:rPr>
                <w:rFonts w:hint="eastAsia" w:ascii="宋体" w:hAnsi="宋体" w:cs="宋体"/>
                <w:sz w:val="24"/>
              </w:rPr>
              <w:t>用户技术培训方案。根据方案的有效性、合理性、完整性、针对性综合评审。</w:t>
            </w:r>
          </w:p>
          <w:p>
            <w:pPr>
              <w:spacing w:line="360" w:lineRule="auto"/>
              <w:rPr>
                <w:rFonts w:ascii="宋体" w:hAnsi="宋体" w:cs="宋体"/>
                <w:sz w:val="24"/>
              </w:rPr>
            </w:pPr>
            <w:r>
              <w:rPr>
                <w:rFonts w:hint="eastAsia" w:ascii="宋体" w:hAnsi="宋体" w:cs="宋体"/>
                <w:sz w:val="24"/>
              </w:rPr>
              <w:t>最好，得5-6分（含）；一般，得3-4分（含）；最差，得0-2分（含）。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913" w:type="pct"/>
          </w:tcPr>
          <w:p>
            <w:pPr>
              <w:spacing w:line="312" w:lineRule="auto"/>
              <w:jc w:val="left"/>
              <w:rPr>
                <w:rFonts w:ascii="宋体" w:hAnsi="宋体" w:cs="宋体"/>
                <w:sz w:val="24"/>
              </w:rPr>
            </w:pPr>
            <w:r>
              <w:rPr>
                <w:rFonts w:hint="eastAsia" w:ascii="宋体" w:hAnsi="宋体"/>
                <w:sz w:val="24"/>
              </w:rPr>
              <w:t>4、</w:t>
            </w:r>
            <w:r>
              <w:rPr>
                <w:rFonts w:hint="eastAsia" w:ascii="宋体" w:hAnsi="宋体" w:cs="宋体"/>
                <w:sz w:val="24"/>
              </w:rPr>
              <w:t>售后服务</w:t>
            </w:r>
          </w:p>
          <w:p>
            <w:pPr>
              <w:spacing w:line="360" w:lineRule="auto"/>
              <w:ind w:left="-91"/>
              <w:jc w:val="left"/>
              <w:rPr>
                <w:rFonts w:ascii="宋体" w:hAnsi="宋体"/>
                <w:sz w:val="24"/>
              </w:rPr>
            </w:pPr>
            <w:r>
              <w:rPr>
                <w:rFonts w:hint="eastAsia" w:ascii="宋体" w:hAnsi="宋体" w:cs="宋体"/>
                <w:sz w:val="24"/>
              </w:rPr>
              <w:t>能力</w:t>
            </w:r>
          </w:p>
        </w:tc>
        <w:tc>
          <w:tcPr>
            <w:tcW w:w="498" w:type="pct"/>
            <w:vAlign w:val="center"/>
          </w:tcPr>
          <w:p>
            <w:pPr>
              <w:spacing w:line="360" w:lineRule="auto"/>
              <w:ind w:left="-91"/>
              <w:jc w:val="center"/>
              <w:rPr>
                <w:rFonts w:ascii="宋体" w:hAnsi="宋体"/>
                <w:sz w:val="24"/>
              </w:rPr>
            </w:pPr>
            <w:r>
              <w:rPr>
                <w:rFonts w:hint="eastAsia" w:ascii="宋体" w:hAnsi="宋体"/>
                <w:sz w:val="24"/>
              </w:rPr>
              <w:t>2分</w:t>
            </w:r>
          </w:p>
        </w:tc>
        <w:tc>
          <w:tcPr>
            <w:tcW w:w="3588" w:type="pct"/>
          </w:tcPr>
          <w:p>
            <w:pPr>
              <w:spacing w:line="360" w:lineRule="auto"/>
              <w:rPr>
                <w:rFonts w:ascii="宋体" w:hAnsi="宋体"/>
                <w:sz w:val="24"/>
              </w:rPr>
            </w:pPr>
            <w:r>
              <w:rPr>
                <w:rFonts w:hint="eastAsia" w:ascii="宋体" w:hAnsi="宋体" w:cs="宋体"/>
                <w:sz w:val="24"/>
              </w:rPr>
              <w:t>投标人提供具有稳定可靠的售后服务和培训方案，评委根据所提供的方案合理性、稳定可靠性、是否全面等，在0-</w:t>
            </w:r>
            <w:r>
              <w:rPr>
                <w:rFonts w:ascii="宋体" w:hAnsi="宋体" w:cs="宋体"/>
                <w:sz w:val="24"/>
              </w:rPr>
              <w:t>2</w:t>
            </w:r>
            <w:r>
              <w:rPr>
                <w:rFonts w:hint="eastAsia" w:ascii="宋体" w:hAnsi="宋体" w:cs="宋体"/>
                <w:sz w:val="24"/>
              </w:rPr>
              <w:t>分之间打分。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3" w:type="pct"/>
          </w:tcPr>
          <w:p>
            <w:pPr>
              <w:spacing w:line="360" w:lineRule="auto"/>
              <w:ind w:left="-91"/>
              <w:jc w:val="left"/>
              <w:rPr>
                <w:rFonts w:ascii="宋体" w:hAnsi="宋体"/>
                <w:sz w:val="24"/>
              </w:rPr>
            </w:pPr>
            <w:r>
              <w:rPr>
                <w:rFonts w:hint="eastAsia" w:ascii="宋体" w:hAnsi="宋体"/>
                <w:sz w:val="24"/>
              </w:rPr>
              <w:t>三、技术部分</w:t>
            </w:r>
          </w:p>
        </w:tc>
        <w:tc>
          <w:tcPr>
            <w:tcW w:w="498" w:type="pct"/>
            <w:vAlign w:val="center"/>
          </w:tcPr>
          <w:p>
            <w:pPr>
              <w:spacing w:line="360" w:lineRule="auto"/>
              <w:jc w:val="center"/>
              <w:rPr>
                <w:rFonts w:ascii="宋体" w:hAnsi="宋体"/>
                <w:sz w:val="24"/>
              </w:rPr>
            </w:pPr>
            <w:r>
              <w:rPr>
                <w:rFonts w:hint="eastAsia" w:ascii="宋体" w:hAnsi="宋体"/>
                <w:sz w:val="24"/>
              </w:rPr>
              <w:t>60分</w:t>
            </w:r>
          </w:p>
        </w:tc>
        <w:tc>
          <w:tcPr>
            <w:tcW w:w="3588" w:type="pct"/>
            <w:vAlign w:val="center"/>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913" w:type="pct"/>
            <w:vMerge w:val="restart"/>
          </w:tcPr>
          <w:p>
            <w:pPr>
              <w:spacing w:line="312" w:lineRule="auto"/>
              <w:rPr>
                <w:rFonts w:ascii="宋体" w:hAnsi="宋体" w:cs="宋体"/>
                <w:sz w:val="24"/>
              </w:rPr>
            </w:pPr>
            <w:r>
              <w:rPr>
                <w:rFonts w:hint="eastAsia" w:ascii="宋体" w:hAnsi="宋体"/>
                <w:sz w:val="24"/>
              </w:rPr>
              <w:t>1、</w:t>
            </w:r>
            <w:r>
              <w:rPr>
                <w:rFonts w:hint="eastAsia" w:ascii="宋体" w:hAnsi="宋体" w:cs="宋体"/>
                <w:sz w:val="24"/>
              </w:rPr>
              <w:t>功能</w:t>
            </w:r>
            <w:r>
              <w:rPr>
                <w:rFonts w:ascii="宋体" w:hAnsi="宋体" w:cs="宋体"/>
                <w:sz w:val="24"/>
              </w:rPr>
              <w:t>、</w:t>
            </w:r>
            <w:r>
              <w:rPr>
                <w:rFonts w:hint="eastAsia" w:ascii="宋体" w:hAnsi="宋体" w:cs="宋体"/>
                <w:sz w:val="24"/>
                <w:lang w:eastAsia="zh-Hans"/>
              </w:rPr>
              <w:t>资质</w:t>
            </w:r>
            <w:r>
              <w:rPr>
                <w:rFonts w:ascii="宋体" w:hAnsi="宋体" w:cs="宋体"/>
                <w:sz w:val="24"/>
                <w:lang w:eastAsia="zh-Hans"/>
              </w:rPr>
              <w:t>、</w:t>
            </w:r>
            <w:r>
              <w:rPr>
                <w:rFonts w:hint="eastAsia" w:ascii="宋体" w:hAnsi="宋体" w:cs="宋体"/>
                <w:sz w:val="24"/>
                <w:lang w:eastAsia="zh-Hans"/>
              </w:rPr>
              <w:t>团队等</w:t>
            </w:r>
            <w:r>
              <w:rPr>
                <w:rFonts w:hint="eastAsia" w:ascii="宋体" w:hAnsi="宋体" w:cs="宋体"/>
                <w:sz w:val="24"/>
              </w:rPr>
              <w:t>响应</w:t>
            </w:r>
          </w:p>
          <w:p>
            <w:pPr>
              <w:spacing w:line="312" w:lineRule="auto"/>
              <w:rPr>
                <w:rFonts w:ascii="宋体" w:hAnsi="宋体" w:cs="宋体"/>
                <w:sz w:val="24"/>
              </w:rPr>
            </w:pPr>
            <w:r>
              <w:rPr>
                <w:rFonts w:hint="eastAsia" w:ascii="宋体" w:hAnsi="宋体" w:cs="宋体"/>
                <w:sz w:val="24"/>
              </w:rPr>
              <w:t>情况</w:t>
            </w:r>
          </w:p>
          <w:p>
            <w:pPr>
              <w:spacing w:line="360" w:lineRule="auto"/>
              <w:ind w:left="-91"/>
              <w:jc w:val="left"/>
              <w:rPr>
                <w:rFonts w:ascii="宋体" w:hAnsi="宋体"/>
                <w:sz w:val="24"/>
              </w:rPr>
            </w:pPr>
          </w:p>
        </w:tc>
        <w:tc>
          <w:tcPr>
            <w:tcW w:w="498" w:type="pct"/>
            <w:vAlign w:val="center"/>
          </w:tcPr>
          <w:p>
            <w:pPr>
              <w:spacing w:line="360" w:lineRule="auto"/>
              <w:ind w:left="-91"/>
              <w:jc w:val="center"/>
              <w:rPr>
                <w:rFonts w:ascii="宋体" w:hAnsi="宋体"/>
                <w:color w:val="auto"/>
                <w:sz w:val="24"/>
              </w:rPr>
            </w:pPr>
            <w:r>
              <w:rPr>
                <w:rFonts w:ascii="宋体" w:hAnsi="宋体"/>
                <w:color w:val="auto"/>
                <w:sz w:val="24"/>
              </w:rPr>
              <w:t>25</w:t>
            </w:r>
            <w:r>
              <w:rPr>
                <w:rFonts w:hint="eastAsia" w:ascii="宋体" w:hAnsi="宋体"/>
                <w:color w:val="auto"/>
                <w:sz w:val="24"/>
              </w:rPr>
              <w:t>分</w:t>
            </w:r>
          </w:p>
        </w:tc>
        <w:tc>
          <w:tcPr>
            <w:tcW w:w="3588" w:type="pct"/>
            <w:vAlign w:val="center"/>
          </w:tcPr>
          <w:p>
            <w:pPr>
              <w:spacing w:line="360" w:lineRule="auto"/>
              <w:rPr>
                <w:sz w:val="24"/>
              </w:rPr>
            </w:pPr>
            <w:r>
              <w:rPr>
                <w:rFonts w:hint="eastAsia" w:ascii="宋体" w:hAnsi="宋体" w:cs="宋体"/>
                <w:b/>
                <w:bCs/>
                <w:sz w:val="24"/>
              </w:rPr>
              <w:t>基本</w:t>
            </w:r>
            <w:r>
              <w:rPr>
                <w:rFonts w:hint="eastAsia" w:ascii="宋体" w:hAnsi="宋体" w:cs="宋体"/>
                <w:b/>
                <w:bCs/>
                <w:sz w:val="24"/>
                <w:lang w:eastAsia="zh-Hans"/>
              </w:rPr>
              <w:t>功能</w:t>
            </w:r>
            <w:r>
              <w:rPr>
                <w:rFonts w:hint="eastAsia" w:ascii="宋体" w:hAnsi="宋体" w:cs="宋体"/>
                <w:b/>
                <w:bCs/>
                <w:sz w:val="24"/>
              </w:rPr>
              <w:t>：</w:t>
            </w:r>
            <w:r>
              <w:rPr>
                <w:rFonts w:hint="eastAsia" w:ascii="宋体" w:hAnsi="宋体" w:cs="宋体"/>
                <w:sz w:val="24"/>
                <w:lang w:eastAsia="zh-Hans"/>
              </w:rPr>
              <w:t>投标</w:t>
            </w:r>
            <w:r>
              <w:rPr>
                <w:rFonts w:hint="eastAsia" w:ascii="宋体" w:hAnsi="宋体" w:cs="宋体"/>
                <w:sz w:val="24"/>
              </w:rPr>
              <w:t>产品</w:t>
            </w:r>
            <w:r>
              <w:rPr>
                <w:rFonts w:hint="eastAsia" w:ascii="宋体" w:hAnsi="宋体" w:cs="宋体"/>
                <w:sz w:val="24"/>
                <w:lang w:eastAsia="zh-Hans"/>
              </w:rPr>
              <w:t>的技术规格应满足第二章“</w:t>
            </w:r>
            <w:r>
              <w:rPr>
                <w:rFonts w:hint="eastAsia" w:ascii="宋体" w:hAnsi="宋体" w:cs="宋体"/>
                <w:sz w:val="24"/>
              </w:rPr>
              <w:t>技术参数与要求</w:t>
            </w:r>
            <w:r>
              <w:rPr>
                <w:rFonts w:hint="eastAsia" w:ascii="宋体" w:hAnsi="宋体" w:cs="宋体"/>
                <w:sz w:val="24"/>
                <w:lang w:eastAsia="zh-Hans"/>
              </w:rPr>
              <w:t>”中所规定的要求。如有标注“▲”的关键技术参数低于或不满足招标文件要求，有一项扣3分。其他的为一般技术参数，一般技术参数低于招标文件要求，有一项减</w:t>
            </w:r>
            <w:r>
              <w:rPr>
                <w:rFonts w:hint="eastAsia" w:ascii="宋体" w:hAnsi="宋体" w:cs="宋体"/>
                <w:sz w:val="24"/>
              </w:rPr>
              <w:t>1</w:t>
            </w:r>
            <w:r>
              <w:rPr>
                <w:rFonts w:hint="eastAsia" w:ascii="宋体" w:hAnsi="宋体" w:cs="宋体"/>
                <w:sz w:val="24"/>
                <w:lang w:eastAsia="zh-Hans"/>
              </w:rPr>
              <w:t>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913" w:type="pct"/>
            <w:vMerge w:val="continue"/>
          </w:tcPr>
          <w:p>
            <w:pPr>
              <w:spacing w:line="360" w:lineRule="auto"/>
            </w:pPr>
          </w:p>
        </w:tc>
        <w:tc>
          <w:tcPr>
            <w:tcW w:w="498" w:type="pct"/>
            <w:vAlign w:val="center"/>
          </w:tcPr>
          <w:p>
            <w:pPr>
              <w:spacing w:line="360" w:lineRule="auto"/>
              <w:ind w:left="-91"/>
              <w:jc w:val="center"/>
              <w:rPr>
                <w:rFonts w:ascii="宋体" w:hAnsi="宋体"/>
                <w:color w:val="auto"/>
                <w:sz w:val="24"/>
              </w:rPr>
            </w:pPr>
            <w:r>
              <w:rPr>
                <w:rFonts w:hint="eastAsia" w:ascii="宋体" w:hAnsi="宋体"/>
                <w:color w:val="auto"/>
                <w:sz w:val="24"/>
              </w:rPr>
              <w:t>1</w:t>
            </w:r>
            <w:r>
              <w:rPr>
                <w:rFonts w:ascii="宋体" w:hAnsi="宋体"/>
                <w:color w:val="auto"/>
                <w:sz w:val="24"/>
              </w:rPr>
              <w:t>5</w:t>
            </w:r>
            <w:r>
              <w:rPr>
                <w:rFonts w:hint="eastAsia" w:ascii="宋体" w:hAnsi="宋体"/>
                <w:color w:val="auto"/>
                <w:sz w:val="24"/>
              </w:rPr>
              <w:t>分</w:t>
            </w:r>
          </w:p>
        </w:tc>
        <w:tc>
          <w:tcPr>
            <w:tcW w:w="3588" w:type="pct"/>
            <w:vAlign w:val="center"/>
          </w:tcPr>
          <w:p>
            <w:pPr>
              <w:spacing w:line="360" w:lineRule="auto"/>
              <w:rPr>
                <w:rFonts w:ascii="宋体" w:hAnsi="宋体" w:cs="宋体"/>
                <w:sz w:val="24"/>
                <w:lang w:eastAsia="zh-Hans"/>
              </w:rPr>
            </w:pPr>
            <w:r>
              <w:rPr>
                <w:rFonts w:hint="eastAsia" w:ascii="宋体" w:hAnsi="宋体" w:cs="宋体"/>
                <w:b/>
                <w:bCs/>
                <w:sz w:val="24"/>
                <w:lang w:eastAsia="zh-Hans"/>
              </w:rPr>
              <w:t>自主研发能力</w:t>
            </w:r>
            <w:r>
              <w:rPr>
                <w:rFonts w:hint="eastAsia" w:ascii="宋体" w:hAnsi="宋体" w:cs="宋体"/>
                <w:b/>
                <w:bCs/>
                <w:sz w:val="24"/>
              </w:rPr>
              <w:t>：</w:t>
            </w:r>
            <w:r>
              <w:rPr>
                <w:rFonts w:hint="eastAsia" w:ascii="宋体" w:hAnsi="宋体" w:cs="宋体"/>
                <w:sz w:val="24"/>
                <w:lang w:eastAsia="zh-Hans"/>
              </w:rPr>
              <w:t>投标人举要较为完整的智慧膳食信息化产品的软件著作权证书，</w:t>
            </w:r>
            <w:r>
              <w:rPr>
                <w:rFonts w:hint="eastAsia" w:ascii="宋体" w:hAnsi="宋体" w:cs="宋体"/>
                <w:sz w:val="24"/>
              </w:rPr>
              <w:t>须</w:t>
            </w:r>
            <w:r>
              <w:rPr>
                <w:rFonts w:hint="eastAsia" w:ascii="宋体" w:hAnsi="宋体" w:cs="宋体"/>
                <w:sz w:val="24"/>
                <w:lang w:eastAsia="zh-Hans"/>
              </w:rPr>
              <w:t>包括智能收银云平台管理系统软件</w:t>
            </w:r>
            <w:r>
              <w:rPr>
                <w:rFonts w:hint="eastAsia" w:ascii="宋体" w:hAnsi="宋体" w:cs="宋体"/>
                <w:sz w:val="24"/>
              </w:rPr>
              <w:t>、</w:t>
            </w:r>
            <w:r>
              <w:rPr>
                <w:rFonts w:hint="eastAsia" w:ascii="宋体" w:hAnsi="宋体" w:cs="宋体"/>
                <w:sz w:val="24"/>
                <w:lang w:eastAsia="zh-Hans"/>
              </w:rPr>
              <w:t>双屏结算多功能管理系统软件</w:t>
            </w:r>
            <w:r>
              <w:rPr>
                <w:rFonts w:hint="eastAsia" w:ascii="宋体" w:hAnsi="宋体" w:cs="宋体"/>
                <w:sz w:val="24"/>
              </w:rPr>
              <w:t>、</w:t>
            </w:r>
            <w:r>
              <w:rPr>
                <w:rFonts w:hint="eastAsia" w:ascii="宋体" w:hAnsi="宋体" w:cs="宋体"/>
                <w:sz w:val="24"/>
                <w:lang w:eastAsia="zh-Hans"/>
              </w:rPr>
              <w:t>访客订餐管理系统软件</w:t>
            </w:r>
            <w:r>
              <w:rPr>
                <w:rFonts w:hint="eastAsia" w:ascii="宋体" w:hAnsi="宋体" w:cs="宋体"/>
                <w:sz w:val="24"/>
              </w:rPr>
              <w:t>、</w:t>
            </w:r>
            <w:r>
              <w:rPr>
                <w:rFonts w:hint="eastAsia" w:ascii="宋体" w:hAnsi="宋体" w:cs="宋体"/>
                <w:sz w:val="24"/>
                <w:lang w:eastAsia="zh-Hans"/>
              </w:rPr>
              <w:t>商户平台信息管理系统软件</w:t>
            </w:r>
            <w:r>
              <w:rPr>
                <w:rFonts w:hint="eastAsia" w:ascii="宋体" w:hAnsi="宋体" w:cs="宋体"/>
                <w:sz w:val="24"/>
              </w:rPr>
              <w:t>、</w:t>
            </w:r>
            <w:r>
              <w:rPr>
                <w:rFonts w:hint="eastAsia" w:ascii="宋体" w:hAnsi="宋体" w:cs="宋体"/>
                <w:sz w:val="24"/>
                <w:lang w:eastAsia="zh-Hans"/>
              </w:rPr>
              <w:t>伙食费日杂计费管理系统</w:t>
            </w:r>
            <w:r>
              <w:rPr>
                <w:rFonts w:hint="eastAsia" w:ascii="宋体" w:hAnsi="宋体" w:cs="宋体"/>
                <w:sz w:val="24"/>
              </w:rPr>
              <w:t>软件证书</w:t>
            </w:r>
            <w:r>
              <w:rPr>
                <w:rFonts w:hint="eastAsia" w:ascii="宋体" w:hAnsi="宋体" w:cs="宋体"/>
                <w:sz w:val="24"/>
                <w:lang w:eastAsia="zh-Hans"/>
              </w:rPr>
              <w:t>，以提供软件著作权登记证书复印件为准，提供</w:t>
            </w:r>
            <w:r>
              <w:rPr>
                <w:rFonts w:hint="eastAsia" w:ascii="宋体" w:hAnsi="宋体" w:cs="宋体"/>
                <w:sz w:val="24"/>
              </w:rPr>
              <w:t>全部</w:t>
            </w:r>
            <w:r>
              <w:rPr>
                <w:rFonts w:hint="eastAsia" w:ascii="宋体" w:hAnsi="宋体" w:cs="宋体"/>
                <w:sz w:val="24"/>
                <w:lang w:eastAsia="zh-Hans"/>
              </w:rPr>
              <w:t>5个证书得1</w:t>
            </w:r>
            <w:r>
              <w:rPr>
                <w:rFonts w:ascii="宋体" w:hAnsi="宋体" w:cs="宋体"/>
                <w:sz w:val="24"/>
                <w:lang w:eastAsia="zh-Hans"/>
              </w:rPr>
              <w:t>5</w:t>
            </w:r>
            <w:r>
              <w:rPr>
                <w:rFonts w:hint="eastAsia" w:ascii="宋体" w:hAnsi="宋体" w:cs="宋体"/>
                <w:sz w:val="24"/>
                <w:lang w:eastAsia="zh-Hans"/>
              </w:rPr>
              <w:t>分，每缺1个证书扣</w:t>
            </w:r>
            <w:r>
              <w:rPr>
                <w:rFonts w:ascii="宋体" w:hAnsi="宋体" w:cs="宋体"/>
                <w:sz w:val="24"/>
                <w:lang w:eastAsia="zh-Hans"/>
              </w:rPr>
              <w:t>3</w:t>
            </w:r>
            <w:r>
              <w:rPr>
                <w:rFonts w:hint="eastAsia" w:ascii="宋体" w:hAnsi="宋体" w:cs="宋体"/>
                <w:sz w:val="24"/>
                <w:lang w:eastAsia="zh-Hans"/>
              </w:rPr>
              <w:t>分，缺失2个及以上不得分。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3" w:type="pct"/>
            <w:vMerge w:val="continue"/>
          </w:tcPr>
          <w:p>
            <w:pPr>
              <w:spacing w:line="360" w:lineRule="auto"/>
              <w:rPr>
                <w:rFonts w:ascii="宋体" w:hAnsi="宋体" w:cs="宋体"/>
                <w:sz w:val="24"/>
                <w:lang w:eastAsia="zh-Hans"/>
              </w:rPr>
            </w:pPr>
          </w:p>
        </w:tc>
        <w:tc>
          <w:tcPr>
            <w:tcW w:w="498" w:type="pct"/>
            <w:vAlign w:val="center"/>
          </w:tcPr>
          <w:p>
            <w:pPr>
              <w:spacing w:line="360" w:lineRule="auto"/>
              <w:ind w:left="-91"/>
              <w:jc w:val="center"/>
              <w:rPr>
                <w:rFonts w:ascii="宋体" w:hAnsi="宋体"/>
                <w:sz w:val="24"/>
              </w:rPr>
            </w:pPr>
            <w:r>
              <w:rPr>
                <w:rFonts w:hint="eastAsia" w:ascii="宋体" w:hAnsi="宋体"/>
                <w:sz w:val="24"/>
              </w:rPr>
              <w:t>5分</w:t>
            </w:r>
          </w:p>
        </w:tc>
        <w:tc>
          <w:tcPr>
            <w:tcW w:w="3588" w:type="pct"/>
            <w:vAlign w:val="center"/>
          </w:tcPr>
          <w:p>
            <w:pPr>
              <w:spacing w:line="360" w:lineRule="auto"/>
              <w:rPr>
                <w:rFonts w:ascii="宋体" w:hAnsi="宋体" w:cs="宋体"/>
                <w:sz w:val="24"/>
                <w:lang w:eastAsia="zh-Hans"/>
              </w:rPr>
            </w:pPr>
            <w:r>
              <w:rPr>
                <w:rFonts w:hint="eastAsia" w:ascii="宋体" w:hAnsi="宋体" w:cs="宋体"/>
                <w:b/>
                <w:bCs/>
                <w:sz w:val="24"/>
                <w:lang w:eastAsia="zh-Hans"/>
              </w:rPr>
              <w:t>团队专业性</w:t>
            </w:r>
            <w:r>
              <w:rPr>
                <w:rFonts w:hint="eastAsia" w:ascii="宋体" w:hAnsi="宋体" w:cs="宋体"/>
                <w:b/>
                <w:bCs/>
                <w:sz w:val="24"/>
              </w:rPr>
              <w:t>：</w:t>
            </w:r>
            <w:r>
              <w:rPr>
                <w:rFonts w:hint="eastAsia" w:ascii="宋体" w:hAnsi="宋体" w:cs="宋体"/>
                <w:sz w:val="24"/>
                <w:lang w:eastAsia="zh-Hans"/>
              </w:rPr>
              <w:t>在满足招标人服务要求及标准的前提下，比较各投标人为本项目配置的服务团队人员情况，包括但不限于学历、所获资质、经验。专业产品经理</w:t>
            </w:r>
            <w:r>
              <w:rPr>
                <w:rFonts w:hint="eastAsia" w:ascii="宋体" w:hAnsi="宋体" w:cs="宋体"/>
                <w:sz w:val="24"/>
              </w:rPr>
              <w:t>须具有NPDP</w:t>
            </w:r>
            <w:r>
              <w:rPr>
                <w:rFonts w:hint="eastAsia" w:ascii="宋体" w:hAnsi="宋体" w:cs="宋体"/>
                <w:sz w:val="24"/>
                <w:lang w:eastAsia="zh-Hans"/>
              </w:rPr>
              <w:t>资格证书，参与产品架构、业务流、各模块设计界面。</w:t>
            </w:r>
          </w:p>
          <w:p>
            <w:pPr>
              <w:spacing w:line="360" w:lineRule="auto"/>
              <w:rPr>
                <w:rFonts w:ascii="宋体" w:hAnsi="宋体" w:cs="宋体"/>
                <w:sz w:val="24"/>
                <w:lang w:eastAsia="zh-Hans"/>
              </w:rPr>
            </w:pPr>
            <w:r>
              <w:rPr>
                <w:rFonts w:hint="eastAsia" w:ascii="宋体" w:hAnsi="宋体" w:cs="宋体"/>
                <w:sz w:val="24"/>
              </w:rPr>
              <w:t>最好，得3-5</w:t>
            </w:r>
            <w:r>
              <w:rPr>
                <w:rFonts w:hint="eastAsia" w:ascii="宋体" w:hAnsi="宋体" w:cs="宋体"/>
                <w:sz w:val="24"/>
                <w:lang w:eastAsia="zh-Hans"/>
              </w:rPr>
              <w:t>分</w:t>
            </w:r>
            <w:r>
              <w:rPr>
                <w:rFonts w:hint="eastAsia" w:ascii="宋体" w:hAnsi="宋体" w:cs="宋体"/>
                <w:sz w:val="24"/>
              </w:rPr>
              <w:t>（含）</w:t>
            </w:r>
            <w:r>
              <w:rPr>
                <w:rFonts w:hint="eastAsia" w:ascii="宋体" w:hAnsi="宋体" w:cs="宋体"/>
                <w:sz w:val="24"/>
                <w:lang w:eastAsia="zh-Hans"/>
              </w:rPr>
              <w:t>；</w:t>
            </w:r>
            <w:r>
              <w:rPr>
                <w:rFonts w:hint="eastAsia" w:ascii="宋体" w:hAnsi="宋体" w:cs="宋体"/>
                <w:sz w:val="24"/>
              </w:rPr>
              <w:t>一般，得2-3</w:t>
            </w:r>
            <w:r>
              <w:rPr>
                <w:rFonts w:hint="eastAsia" w:ascii="宋体" w:hAnsi="宋体" w:cs="宋体"/>
                <w:sz w:val="24"/>
                <w:lang w:eastAsia="zh-Hans"/>
              </w:rPr>
              <w:t>分</w:t>
            </w:r>
            <w:r>
              <w:rPr>
                <w:rFonts w:hint="eastAsia" w:ascii="宋体" w:hAnsi="宋体" w:cs="宋体"/>
                <w:sz w:val="24"/>
              </w:rPr>
              <w:t>（含）</w:t>
            </w:r>
            <w:r>
              <w:rPr>
                <w:rFonts w:hint="eastAsia" w:ascii="宋体" w:hAnsi="宋体" w:cs="宋体"/>
                <w:sz w:val="24"/>
                <w:lang w:eastAsia="zh-Hans"/>
              </w:rPr>
              <w:t>；</w:t>
            </w:r>
            <w:r>
              <w:rPr>
                <w:rFonts w:hint="eastAsia" w:ascii="宋体" w:hAnsi="宋体" w:cs="宋体"/>
                <w:sz w:val="24"/>
              </w:rPr>
              <w:t>较差，得1-2</w:t>
            </w:r>
            <w:r>
              <w:rPr>
                <w:rFonts w:hint="eastAsia" w:ascii="宋体" w:hAnsi="宋体" w:cs="宋体"/>
                <w:sz w:val="24"/>
                <w:lang w:eastAsia="zh-Hans"/>
              </w:rPr>
              <w:t>分</w:t>
            </w:r>
            <w:r>
              <w:rPr>
                <w:rFonts w:hint="eastAsia" w:ascii="宋体" w:hAnsi="宋体" w:cs="宋体"/>
                <w:sz w:val="24"/>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13" w:type="pct"/>
          </w:tcPr>
          <w:p>
            <w:pPr>
              <w:spacing w:line="360" w:lineRule="auto"/>
              <w:ind w:left="-91"/>
              <w:jc w:val="left"/>
              <w:rPr>
                <w:rFonts w:ascii="宋体" w:hAnsi="宋体"/>
                <w:snapToGrid w:val="0"/>
                <w:kern w:val="0"/>
                <w:sz w:val="24"/>
              </w:rPr>
            </w:pPr>
            <w:r>
              <w:rPr>
                <w:rFonts w:hint="eastAsia" w:ascii="宋体" w:hAnsi="宋体"/>
                <w:sz w:val="24"/>
              </w:rPr>
              <w:t>2、项目</w:t>
            </w:r>
            <w:r>
              <w:rPr>
                <w:rFonts w:hint="eastAsia" w:ascii="宋体" w:hAnsi="宋体" w:cs="宋体"/>
                <w:sz w:val="24"/>
              </w:rPr>
              <w:t>技术方案</w:t>
            </w:r>
          </w:p>
        </w:tc>
        <w:tc>
          <w:tcPr>
            <w:tcW w:w="498" w:type="pct"/>
            <w:vAlign w:val="center"/>
          </w:tcPr>
          <w:p>
            <w:pPr>
              <w:spacing w:line="360" w:lineRule="auto"/>
              <w:ind w:left="-91"/>
              <w:jc w:val="center"/>
              <w:rPr>
                <w:rFonts w:ascii="宋体" w:hAnsi="宋体"/>
                <w:sz w:val="24"/>
              </w:rPr>
            </w:pPr>
            <w:r>
              <w:rPr>
                <w:rFonts w:hint="eastAsia" w:ascii="宋体" w:hAnsi="宋体"/>
                <w:sz w:val="24"/>
              </w:rPr>
              <w:t>15分</w:t>
            </w:r>
          </w:p>
        </w:tc>
        <w:tc>
          <w:tcPr>
            <w:tcW w:w="3588" w:type="pct"/>
            <w:vAlign w:val="center"/>
          </w:tcPr>
          <w:p>
            <w:pPr>
              <w:spacing w:line="360" w:lineRule="auto"/>
              <w:jc w:val="left"/>
              <w:rPr>
                <w:rFonts w:ascii="宋体" w:hAnsi="宋体" w:cs="宋体"/>
                <w:sz w:val="24"/>
                <w:lang w:eastAsia="zh-Hans"/>
              </w:rPr>
            </w:pPr>
            <w:r>
              <w:rPr>
                <w:rFonts w:hint="eastAsia" w:ascii="宋体" w:hAnsi="宋体" w:cs="宋体"/>
                <w:sz w:val="24"/>
                <w:lang w:eastAsia="zh-Hans"/>
              </w:rPr>
              <w:t>在满足招标人的</w:t>
            </w:r>
            <w:r>
              <w:rPr>
                <w:rFonts w:hint="eastAsia" w:ascii="宋体" w:hAnsi="宋体" w:cs="宋体"/>
                <w:sz w:val="24"/>
              </w:rPr>
              <w:t>技术</w:t>
            </w:r>
            <w:r>
              <w:rPr>
                <w:rFonts w:hint="eastAsia" w:ascii="宋体" w:hAnsi="宋体" w:cs="宋体"/>
                <w:sz w:val="24"/>
                <w:lang w:eastAsia="zh-Hans"/>
              </w:rPr>
              <w:t>要求及标准的前提下，比较各投标人提交的</w:t>
            </w:r>
            <w:r>
              <w:rPr>
                <w:rFonts w:hint="eastAsia" w:ascii="宋体" w:hAnsi="宋体" w:cs="宋体"/>
                <w:sz w:val="24"/>
              </w:rPr>
              <w:t>技术</w:t>
            </w:r>
            <w:r>
              <w:rPr>
                <w:rFonts w:hint="eastAsia" w:ascii="宋体" w:hAnsi="宋体" w:cs="宋体"/>
                <w:sz w:val="24"/>
                <w:lang w:eastAsia="zh-Hans"/>
              </w:rPr>
              <w:t>方案是否充分考虑医院的业务模式、业务特点，针对性的提供技术解决方案及医院个性化需求。</w:t>
            </w:r>
          </w:p>
          <w:p>
            <w:pPr>
              <w:spacing w:line="360" w:lineRule="auto"/>
              <w:jc w:val="left"/>
              <w:rPr>
                <w:rFonts w:ascii="宋体" w:hAnsi="宋体"/>
                <w:sz w:val="24"/>
              </w:rPr>
            </w:pPr>
            <w:r>
              <w:rPr>
                <w:rFonts w:hint="eastAsia" w:ascii="宋体" w:hAnsi="宋体" w:cs="宋体"/>
                <w:sz w:val="24"/>
              </w:rPr>
              <w:t>最好，得</w:t>
            </w:r>
            <w:r>
              <w:rPr>
                <w:rFonts w:hint="eastAsia" w:ascii="宋体" w:hAnsi="宋体" w:cs="宋体"/>
                <w:sz w:val="24"/>
                <w:lang w:eastAsia="zh-Hans"/>
              </w:rPr>
              <w:t>10-15分</w:t>
            </w:r>
            <w:r>
              <w:rPr>
                <w:rFonts w:hint="eastAsia" w:ascii="宋体" w:hAnsi="宋体" w:cs="宋体"/>
                <w:sz w:val="24"/>
              </w:rPr>
              <w:t>（含）</w:t>
            </w:r>
            <w:r>
              <w:rPr>
                <w:rFonts w:hint="eastAsia" w:ascii="宋体" w:hAnsi="宋体" w:cs="宋体"/>
                <w:sz w:val="24"/>
                <w:lang w:eastAsia="zh-Hans"/>
              </w:rPr>
              <w:t>；</w:t>
            </w:r>
            <w:r>
              <w:rPr>
                <w:rFonts w:hint="eastAsia" w:ascii="宋体" w:hAnsi="宋体" w:cs="宋体"/>
                <w:sz w:val="24"/>
              </w:rPr>
              <w:t>一般，得</w:t>
            </w:r>
            <w:r>
              <w:rPr>
                <w:rFonts w:hint="eastAsia" w:ascii="宋体" w:hAnsi="宋体" w:cs="宋体"/>
                <w:sz w:val="24"/>
                <w:lang w:eastAsia="zh-Hans"/>
              </w:rPr>
              <w:t>5-9分</w:t>
            </w:r>
            <w:r>
              <w:rPr>
                <w:rFonts w:hint="eastAsia" w:ascii="宋体" w:hAnsi="宋体" w:cs="宋体"/>
                <w:sz w:val="24"/>
              </w:rPr>
              <w:t>（含）</w:t>
            </w:r>
            <w:r>
              <w:rPr>
                <w:rFonts w:hint="eastAsia" w:ascii="宋体" w:hAnsi="宋体" w:cs="宋体"/>
                <w:sz w:val="24"/>
                <w:lang w:eastAsia="zh-Hans"/>
              </w:rPr>
              <w:t>；</w:t>
            </w:r>
            <w:r>
              <w:rPr>
                <w:rFonts w:hint="eastAsia" w:ascii="宋体" w:hAnsi="宋体" w:cs="宋体"/>
                <w:sz w:val="24"/>
              </w:rPr>
              <w:t>较差，得</w:t>
            </w:r>
            <w:r>
              <w:rPr>
                <w:rFonts w:hint="eastAsia" w:ascii="宋体" w:hAnsi="宋体" w:cs="宋体"/>
                <w:sz w:val="24"/>
                <w:lang w:eastAsia="zh-Hans"/>
              </w:rPr>
              <w:t>0-4分</w:t>
            </w:r>
            <w:r>
              <w:rPr>
                <w:rFonts w:hint="eastAsia" w:ascii="宋体" w:hAnsi="宋体" w:cs="宋体"/>
                <w:sz w:val="24"/>
              </w:rPr>
              <w:t>（含）。</w:t>
            </w:r>
          </w:p>
        </w:tc>
      </w:tr>
    </w:tbl>
    <w:p>
      <w:pPr>
        <w:pStyle w:val="25"/>
        <w:numPr>
          <w:ilvl w:val="0"/>
          <w:numId w:val="2"/>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双方签订合同后的30个工作日内，甲方收到乙方开具的发票，向乙方支付合同总价的30％。</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设备到货后双方在完成项目验收后的30个工作日内，甲方收到乙方开具的发票，甲方向乙方支付合同总价剩余的60％。</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项目验收合格后，甲方收到乙方出具的正式、合法、有效等额发票及总金额10%的银行保函作为质保金后三十个工作日，支付乙方合同总金额的10%款项。</w:t>
      </w:r>
    </w:p>
    <w:p>
      <w:pPr>
        <w:pStyle w:val="25"/>
        <w:autoSpaceDE w:val="0"/>
        <w:autoSpaceDN w:val="0"/>
        <w:spacing w:line="360" w:lineRule="exact"/>
        <w:ind w:left="0" w:firstLine="0"/>
        <w:jc w:val="left"/>
        <w:rPr>
          <w:rFonts w:ascii="宋体" w:hAnsi="宋体" w:cs="宋体"/>
          <w:sz w:val="24"/>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华文仿宋" w:hAnsi="华文仿宋" w:cs="华文仿宋"/>
        </w:rPr>
      </w:pPr>
    </w:p>
    <w:p>
      <w:pPr>
        <w:pStyle w:val="24"/>
        <w:numPr>
          <w:ilvl w:val="0"/>
          <w:numId w:val="8"/>
        </w:numPr>
        <w:rPr>
          <w:rFonts w:ascii="华文仿宋" w:hAnsi="华文仿宋" w:cs="华文仿宋"/>
        </w:rPr>
      </w:pPr>
      <w:r>
        <w:rPr>
          <w:rFonts w:hint="eastAsia" w:ascii="华文仿宋" w:hAnsi="华文仿宋" w:cs="华文仿宋"/>
        </w:rPr>
        <w:t>技术参数与要求</w:t>
      </w: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spacing w:line="480" w:lineRule="auto"/>
        <w:jc w:val="center"/>
        <w:rPr>
          <w:rFonts w:ascii="宋体" w:hAnsi="宋体" w:cs="宋体"/>
          <w:b/>
          <w:sz w:val="28"/>
          <w:szCs w:val="28"/>
          <w:highlight w:val="green"/>
        </w:rPr>
      </w:pPr>
      <w:r>
        <w:rPr>
          <w:rFonts w:hint="eastAsia" w:ascii="宋体" w:hAnsi="宋体" w:cs="宋体"/>
          <w:sz w:val="24"/>
        </w:rPr>
        <w:br w:type="page"/>
      </w:r>
      <w:r>
        <w:rPr>
          <w:rFonts w:hint="eastAsia" w:ascii="宋体" w:hAnsi="宋体" w:cs="宋体"/>
          <w:b/>
          <w:sz w:val="28"/>
          <w:szCs w:val="28"/>
        </w:rPr>
        <w:t>技术参数与要求</w:t>
      </w:r>
    </w:p>
    <w:p>
      <w:pPr>
        <w:pStyle w:val="13"/>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cs="宋体"/>
          <w:shd w:val="clear" w:color="auto" w:fill="FFFFFF"/>
        </w:rPr>
        <w:t>上海市儿童医院两院饭卡结算系统二期</w:t>
      </w:r>
    </w:p>
    <w:p>
      <w:pPr>
        <w:pStyle w:val="13"/>
        <w:widowControl/>
        <w:shd w:val="clear" w:color="auto" w:fill="FFFFFF"/>
        <w:adjustRightInd w:val="0"/>
        <w:snapToGrid w:val="0"/>
        <w:spacing w:beforeAutospacing="0" w:afterAutospacing="0" w:line="360" w:lineRule="auto"/>
        <w:jc w:val="both"/>
        <w:rPr>
          <w:rFonts w:ascii="宋体" w:hAnsi="宋体" w:cs="宋体"/>
          <w:b/>
          <w:bCs/>
          <w:sz w:val="21"/>
          <w:szCs w:val="21"/>
        </w:rPr>
      </w:pPr>
      <w:r>
        <w:rPr>
          <w:rFonts w:hint="eastAsia" w:ascii="宋体" w:hAnsi="宋体" w:cs="宋体"/>
          <w:b/>
          <w:bCs/>
          <w:shd w:val="clear" w:color="auto" w:fill="FFFFFF"/>
        </w:rPr>
        <w:t>二、实施地点：</w:t>
      </w:r>
      <w:r>
        <w:rPr>
          <w:rFonts w:hint="eastAsia" w:ascii="宋体" w:hAnsi="宋体" w:cs="宋体"/>
          <w:shd w:val="clear" w:color="auto" w:fill="FFFFFF"/>
        </w:rPr>
        <w:t>上海市儿童医院</w:t>
      </w:r>
    </w:p>
    <w:p>
      <w:pPr>
        <w:pStyle w:val="13"/>
        <w:widowControl/>
        <w:shd w:val="clear" w:color="auto" w:fill="FFFFFF"/>
        <w:adjustRightInd w:val="0"/>
        <w:snapToGrid w:val="0"/>
        <w:spacing w:beforeAutospacing="0" w:afterAutospacing="0" w:line="360" w:lineRule="auto"/>
        <w:jc w:val="both"/>
        <w:rPr>
          <w:rFonts w:ascii="宋体" w:hAnsi="宋体" w:cs="宋体"/>
          <w:sz w:val="21"/>
          <w:szCs w:val="21"/>
          <w:lang w:eastAsia="zh-Hans"/>
        </w:rPr>
      </w:pPr>
      <w:r>
        <w:rPr>
          <w:rFonts w:hint="eastAsia" w:ascii="宋体" w:hAnsi="宋体" w:cs="宋体"/>
          <w:b/>
          <w:bCs/>
          <w:shd w:val="clear" w:color="auto" w:fill="FFFFFF"/>
        </w:rPr>
        <w:t>三、实施周期：</w:t>
      </w:r>
      <w:r>
        <w:rPr>
          <w:rFonts w:hint="eastAsia"/>
        </w:rPr>
        <w:t>合同</w:t>
      </w:r>
      <w:r>
        <w:t>签订后</w:t>
      </w:r>
      <w:r>
        <w:rPr>
          <w:rFonts w:hint="eastAsia"/>
        </w:rPr>
        <w:t>6个月</w:t>
      </w:r>
    </w:p>
    <w:p>
      <w:pPr>
        <w:pStyle w:val="7"/>
        <w:outlineLvl w:val="0"/>
        <w:rPr>
          <w:rStyle w:val="31"/>
          <w:rFonts w:ascii="宋体" w:hAnsi="宋体" w:cs="宋体"/>
          <w:color w:val="auto"/>
        </w:rPr>
      </w:pPr>
      <w:r>
        <w:rPr>
          <w:rFonts w:hint="eastAsia" w:ascii="宋体" w:hAnsi="宋体" w:cs="宋体"/>
          <w:b/>
          <w:bCs/>
          <w:sz w:val="24"/>
          <w:shd w:val="clear" w:color="auto" w:fill="FFFFFF"/>
        </w:rPr>
        <w:t>四、</w:t>
      </w:r>
      <w:r>
        <w:rPr>
          <w:rStyle w:val="31"/>
          <w:rFonts w:hint="eastAsia" w:ascii="宋体" w:hAnsi="宋体" w:cs="宋体"/>
          <w:b/>
          <w:color w:val="auto"/>
          <w:lang w:eastAsia="zh-Hans"/>
        </w:rPr>
        <w:t>系统总体要求</w:t>
      </w:r>
    </w:p>
    <w:tbl>
      <w:tblPr>
        <w:tblStyle w:val="17"/>
        <w:tblW w:w="9099" w:type="dxa"/>
        <w:tblInd w:w="0" w:type="dxa"/>
        <w:tblLayout w:type="autofit"/>
        <w:tblCellMar>
          <w:top w:w="15" w:type="dxa"/>
          <w:left w:w="15" w:type="dxa"/>
          <w:bottom w:w="15" w:type="dxa"/>
          <w:right w:w="15" w:type="dxa"/>
        </w:tblCellMar>
      </w:tblPr>
      <w:tblGrid>
        <w:gridCol w:w="1461"/>
        <w:gridCol w:w="7638"/>
      </w:tblGrid>
      <w:tr>
        <w:tblPrEx>
          <w:tblCellMar>
            <w:top w:w="15" w:type="dxa"/>
            <w:left w:w="15" w:type="dxa"/>
            <w:bottom w:w="15" w:type="dxa"/>
            <w:right w:w="15" w:type="dxa"/>
          </w:tblCellMar>
        </w:tblPrEx>
        <w:trPr>
          <w:trHeight w:val="631"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系统架构</w:t>
            </w:r>
          </w:p>
        </w:tc>
        <w:tc>
          <w:tcPr>
            <w:tcW w:w="7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lang w:eastAsia="zh-Hans"/>
              </w:rPr>
            </w:pPr>
            <w:r>
              <w:rPr>
                <w:rFonts w:hint="eastAsia" w:ascii="宋体" w:hAnsi="宋体" w:cs="宋体"/>
                <w:kern w:val="0"/>
                <w:sz w:val="24"/>
                <w:lang w:eastAsia="zh-Hans" w:bidi="ar"/>
              </w:rPr>
              <w:t>保留原系统架构模式，升级部署方式，采用K8S集群部署；</w:t>
            </w:r>
          </w:p>
        </w:tc>
      </w:tr>
      <w:tr>
        <w:tblPrEx>
          <w:tblCellMar>
            <w:top w:w="15" w:type="dxa"/>
            <w:left w:w="15" w:type="dxa"/>
            <w:bottom w:w="15" w:type="dxa"/>
            <w:right w:w="15" w:type="dxa"/>
          </w:tblCellMar>
        </w:tblPrEx>
        <w:trPr>
          <w:trHeight w:val="631"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24"/>
                <w:lang w:eastAsia="zh-Hans" w:bidi="ar"/>
              </w:rPr>
            </w:pPr>
            <w:r>
              <w:rPr>
                <w:rFonts w:hint="eastAsia" w:ascii="宋体" w:hAnsi="宋体" w:cs="宋体"/>
                <w:kern w:val="0"/>
                <w:sz w:val="24"/>
                <w:lang w:eastAsia="zh-Hans" w:bidi="ar"/>
              </w:rPr>
              <w:t>兼容要求</w:t>
            </w:r>
          </w:p>
        </w:tc>
        <w:tc>
          <w:tcPr>
            <w:tcW w:w="7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24"/>
                <w:lang w:bidi="ar"/>
              </w:rPr>
            </w:pPr>
            <w:r>
              <w:rPr>
                <w:rFonts w:hint="eastAsia" w:ascii="宋体" w:hAnsi="宋体" w:cs="宋体"/>
                <w:kern w:val="0"/>
                <w:sz w:val="24"/>
                <w:lang w:bidi="ar"/>
              </w:rPr>
              <w:t>兼容</w:t>
            </w:r>
            <w:r>
              <w:rPr>
                <w:rFonts w:hint="eastAsia" w:ascii="宋体" w:hAnsi="宋体" w:cs="宋体"/>
                <w:kern w:val="0"/>
                <w:sz w:val="24"/>
                <w:lang w:eastAsia="zh-Hans" w:bidi="ar"/>
              </w:rPr>
              <w:t>现有两院饭卡结算系统</w:t>
            </w:r>
            <w:r>
              <w:rPr>
                <w:rFonts w:hint="eastAsia" w:ascii="宋体" w:hAnsi="宋体" w:cs="宋体"/>
                <w:kern w:val="0"/>
                <w:sz w:val="24"/>
                <w:lang w:bidi="ar"/>
              </w:rPr>
              <w:t>；</w:t>
            </w:r>
          </w:p>
        </w:tc>
      </w:tr>
      <w:tr>
        <w:tblPrEx>
          <w:tblCellMar>
            <w:top w:w="15" w:type="dxa"/>
            <w:left w:w="15" w:type="dxa"/>
            <w:bottom w:w="15" w:type="dxa"/>
            <w:right w:w="15" w:type="dxa"/>
          </w:tblCellMar>
        </w:tblPrEx>
        <w:trPr>
          <w:trHeight w:val="631"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维护期</w:t>
            </w:r>
          </w:p>
        </w:tc>
        <w:tc>
          <w:tcPr>
            <w:tcW w:w="7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免费维护期1年及以上；</w:t>
            </w:r>
          </w:p>
        </w:tc>
      </w:tr>
      <w:tr>
        <w:tblPrEx>
          <w:tblCellMar>
            <w:top w:w="15" w:type="dxa"/>
            <w:left w:w="15" w:type="dxa"/>
            <w:bottom w:w="15" w:type="dxa"/>
            <w:right w:w="15" w:type="dxa"/>
          </w:tblCellMar>
        </w:tblPrEx>
        <w:trPr>
          <w:trHeight w:val="937"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运维要求</w:t>
            </w:r>
          </w:p>
        </w:tc>
        <w:tc>
          <w:tcPr>
            <w:tcW w:w="7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rPr>
            </w:pPr>
            <w:r>
              <w:rPr>
                <w:rFonts w:hint="eastAsia" w:ascii="宋体" w:hAnsi="宋体" w:cs="宋体"/>
                <w:kern w:val="0"/>
                <w:sz w:val="24"/>
                <w:lang w:bidi="ar"/>
              </w:rPr>
              <w:t>提供7×24</w:t>
            </w:r>
            <w:r>
              <w:rPr>
                <w:rFonts w:hint="eastAsia" w:ascii="宋体" w:hAnsi="宋体" w:cs="宋体"/>
                <w:kern w:val="0"/>
                <w:sz w:val="24"/>
                <w:lang w:val="en-US" w:eastAsia="zh-CN" w:bidi="ar"/>
              </w:rPr>
              <w:t>小时</w:t>
            </w:r>
            <w:r>
              <w:rPr>
                <w:rFonts w:hint="eastAsia" w:ascii="宋体" w:hAnsi="宋体" w:cs="宋体"/>
                <w:kern w:val="0"/>
                <w:sz w:val="24"/>
                <w:lang w:bidi="ar"/>
              </w:rPr>
              <w:t>服务。对于系统在使用过程中出现的问题，30分钟内响应。并且提供特殊环境下的详细的应急预案。</w:t>
            </w:r>
          </w:p>
        </w:tc>
      </w:tr>
    </w:tbl>
    <w:p>
      <w:pPr>
        <w:pStyle w:val="7"/>
        <w:spacing w:before="156" w:beforeLines="50" w:after="156" w:afterLines="50"/>
        <w:outlineLvl w:val="0"/>
        <w:rPr>
          <w:rStyle w:val="31"/>
          <w:rFonts w:ascii="宋体" w:hAnsi="宋体" w:cs="宋体"/>
          <w:b/>
          <w:color w:val="auto"/>
          <w:lang w:eastAsia="zh-Hans"/>
        </w:rPr>
      </w:pPr>
      <w:r>
        <w:rPr>
          <w:rStyle w:val="31"/>
          <w:rFonts w:hint="eastAsia" w:ascii="宋体" w:hAnsi="宋体" w:cs="宋体"/>
          <w:b/>
          <w:color w:val="auto"/>
        </w:rPr>
        <w:t>五、</w:t>
      </w:r>
      <w:r>
        <w:rPr>
          <w:rStyle w:val="31"/>
          <w:rFonts w:hint="eastAsia" w:ascii="宋体" w:hAnsi="宋体" w:cs="宋体"/>
          <w:b/>
          <w:color w:val="auto"/>
          <w:lang w:eastAsia="zh-Hans"/>
        </w:rPr>
        <w:t>功能要求</w:t>
      </w:r>
    </w:p>
    <w:p>
      <w:pPr>
        <w:pStyle w:val="7"/>
        <w:numPr>
          <w:ilvl w:val="0"/>
          <w:numId w:val="9"/>
        </w:numPr>
        <w:spacing w:line="360" w:lineRule="auto"/>
        <w:outlineLvl w:val="0"/>
        <w:rPr>
          <w:rFonts w:ascii="宋体" w:hAnsi="宋体" w:cs="宋体"/>
          <w:kern w:val="0"/>
          <w:sz w:val="24"/>
          <w:lang w:eastAsia="zh-Hans" w:bidi="ar"/>
        </w:rPr>
      </w:pPr>
      <w:r>
        <w:rPr>
          <w:rFonts w:hint="eastAsia" w:ascii="宋体" w:hAnsi="宋体" w:cs="宋体"/>
          <w:kern w:val="0"/>
          <w:sz w:val="24"/>
          <w:lang w:eastAsia="zh-Hans" w:bidi="ar"/>
        </w:rPr>
        <w:t>实现职工手机端可查询订餐明细、消费记录、充值明细，避免充值、扣费相关纠纷。</w:t>
      </w:r>
    </w:p>
    <w:p>
      <w:pPr>
        <w:pStyle w:val="7"/>
        <w:numPr>
          <w:ilvl w:val="0"/>
          <w:numId w:val="9"/>
        </w:numPr>
        <w:spacing w:line="360" w:lineRule="auto"/>
        <w:outlineLvl w:val="0"/>
        <w:rPr>
          <w:rFonts w:ascii="宋体" w:hAnsi="宋体" w:cs="宋体"/>
          <w:kern w:val="0"/>
          <w:sz w:val="24"/>
          <w:lang w:eastAsia="zh-Hans" w:bidi="ar"/>
        </w:rPr>
      </w:pPr>
      <w:r>
        <w:rPr>
          <w:rFonts w:hint="eastAsia" w:ascii="宋体" w:hAnsi="宋体" w:cs="宋体"/>
          <w:kern w:val="0"/>
          <w:sz w:val="24"/>
          <w:lang w:eastAsia="zh-Hans" w:bidi="ar"/>
        </w:rPr>
        <w:t>职工手机卡包支付（即无需带卡，直接手机端刷二维码支付账户余额。减少员工接触）；</w:t>
      </w:r>
    </w:p>
    <w:p>
      <w:pPr>
        <w:pStyle w:val="7"/>
        <w:numPr>
          <w:ilvl w:val="0"/>
          <w:numId w:val="9"/>
        </w:numPr>
        <w:spacing w:line="360" w:lineRule="auto"/>
        <w:outlineLvl w:val="0"/>
        <w:rPr>
          <w:rFonts w:ascii="宋体" w:hAnsi="宋体" w:cs="宋体"/>
          <w:kern w:val="0"/>
          <w:sz w:val="24"/>
          <w:lang w:eastAsia="zh-Hans" w:bidi="ar"/>
        </w:rPr>
      </w:pPr>
      <w:r>
        <w:rPr>
          <w:rFonts w:hint="eastAsia" w:ascii="宋体" w:hAnsi="宋体" w:cs="宋体"/>
          <w:kern w:val="0"/>
          <w:sz w:val="24"/>
          <w:lang w:eastAsia="zh-Hans" w:bidi="ar"/>
        </w:rPr>
        <w:t>应急备案方案，支持职工食堂消费机离线消费：即消费机无网情况下职工仍然可以手机卡包支付，并实时超上传数据</w:t>
      </w:r>
      <w:r>
        <w:rPr>
          <w:rFonts w:ascii="宋体" w:hAnsi="宋体" w:cs="宋体"/>
          <w:kern w:val="0"/>
          <w:sz w:val="24"/>
          <w:lang w:eastAsia="zh-Hans" w:bidi="ar"/>
        </w:rPr>
        <w:t>，</w:t>
      </w:r>
      <w:r>
        <w:rPr>
          <w:rFonts w:hint="eastAsia" w:ascii="宋体" w:hAnsi="宋体" w:cs="宋体"/>
          <w:kern w:val="0"/>
          <w:sz w:val="24"/>
          <w:lang w:eastAsia="zh-Hans" w:bidi="ar"/>
        </w:rPr>
        <w:t>解决突然状况下员工就餐问题；</w:t>
      </w:r>
    </w:p>
    <w:p>
      <w:pPr>
        <w:pStyle w:val="7"/>
        <w:numPr>
          <w:ilvl w:val="0"/>
          <w:numId w:val="9"/>
        </w:numPr>
        <w:spacing w:line="360" w:lineRule="auto"/>
        <w:outlineLvl w:val="0"/>
        <w:rPr>
          <w:rFonts w:ascii="宋体" w:hAnsi="宋体" w:cs="宋体"/>
          <w:kern w:val="0"/>
          <w:sz w:val="24"/>
          <w:lang w:eastAsia="zh-Hans" w:bidi="ar"/>
        </w:rPr>
      </w:pPr>
      <w:r>
        <w:rPr>
          <w:rFonts w:hint="eastAsia" w:ascii="宋体" w:hAnsi="宋体" w:cs="宋体"/>
          <w:kern w:val="0"/>
          <w:sz w:val="24"/>
          <w:lang w:eastAsia="zh-Hans" w:bidi="ar"/>
        </w:rPr>
        <w:t>规避盗刷情况，账户和卡分离管理：解决手机绑IC卡解决偶发性出现盗刷问题；</w:t>
      </w:r>
    </w:p>
    <w:p>
      <w:pPr>
        <w:pStyle w:val="7"/>
        <w:numPr>
          <w:ilvl w:val="0"/>
          <w:numId w:val="9"/>
        </w:numPr>
        <w:spacing w:line="360" w:lineRule="auto"/>
        <w:outlineLvl w:val="0"/>
        <w:rPr>
          <w:rFonts w:ascii="宋体" w:hAnsi="宋体" w:cs="宋体"/>
          <w:kern w:val="0"/>
          <w:sz w:val="24"/>
          <w:lang w:eastAsia="zh-Hans" w:bidi="ar"/>
        </w:rPr>
      </w:pPr>
      <w:r>
        <w:rPr>
          <w:rFonts w:hint="eastAsia" w:ascii="宋体" w:hAnsi="宋体" w:cs="宋体"/>
          <w:kern w:val="0"/>
          <w:sz w:val="24"/>
          <w:lang w:eastAsia="zh-Hans" w:bidi="ar"/>
        </w:rPr>
        <w:t>部分报表优化：部分统计功能数据表优化；</w:t>
      </w:r>
    </w:p>
    <w:p>
      <w:pPr>
        <w:pStyle w:val="7"/>
        <w:numPr>
          <w:ilvl w:val="0"/>
          <w:numId w:val="9"/>
        </w:numPr>
        <w:spacing w:line="360" w:lineRule="auto"/>
        <w:outlineLvl w:val="0"/>
        <w:rPr>
          <w:rFonts w:ascii="宋体" w:hAnsi="宋体" w:cs="宋体"/>
          <w:kern w:val="0"/>
          <w:sz w:val="24"/>
          <w:lang w:eastAsia="zh-Hans" w:bidi="ar"/>
        </w:rPr>
      </w:pPr>
      <w:r>
        <w:rPr>
          <w:rFonts w:hint="eastAsia" w:ascii="宋体" w:hAnsi="宋体" w:cs="宋体"/>
          <w:kern w:val="0"/>
          <w:sz w:val="24"/>
          <w:lang w:eastAsia="zh-Hans" w:bidi="ar"/>
        </w:rPr>
        <w:t>增加商户管理功能如下：</w:t>
      </w:r>
    </w:p>
    <w:tbl>
      <w:tblPr>
        <w:tblStyle w:val="17"/>
        <w:tblW w:w="9073" w:type="dxa"/>
        <w:jc w:val="center"/>
        <w:tblLayout w:type="fixed"/>
        <w:tblCellMar>
          <w:top w:w="15" w:type="dxa"/>
          <w:left w:w="15" w:type="dxa"/>
          <w:bottom w:w="15" w:type="dxa"/>
          <w:right w:w="15" w:type="dxa"/>
        </w:tblCellMar>
      </w:tblPr>
      <w:tblGrid>
        <w:gridCol w:w="1260"/>
        <w:gridCol w:w="1231"/>
        <w:gridCol w:w="2086"/>
        <w:gridCol w:w="4496"/>
      </w:tblGrid>
      <w:tr>
        <w:tblPrEx>
          <w:tblCellMar>
            <w:top w:w="15" w:type="dxa"/>
            <w:left w:w="15" w:type="dxa"/>
            <w:bottom w:w="15" w:type="dxa"/>
            <w:right w:w="15" w:type="dxa"/>
          </w:tblCellMar>
        </w:tblPrEx>
        <w:trPr>
          <w:trHeight w:val="662"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jc w:val="center"/>
              <w:rPr>
                <w:rFonts w:ascii="宋体" w:hAnsi="宋体" w:cs="宋体"/>
                <w:b/>
                <w:bCs/>
                <w:snapToGrid w:val="0"/>
                <w:kern w:val="0"/>
                <w:sz w:val="24"/>
                <w:lang w:eastAsia="zh-Hans"/>
              </w:rPr>
            </w:pPr>
            <w:r>
              <w:rPr>
                <w:rFonts w:hint="eastAsia" w:ascii="宋体" w:hAnsi="宋体" w:cs="宋体"/>
                <w:b/>
                <w:bCs/>
                <w:snapToGrid w:val="0"/>
                <w:kern w:val="0"/>
                <w:sz w:val="24"/>
                <w:lang w:eastAsia="zh-Hans"/>
              </w:rPr>
              <w:t>一级模块</w:t>
            </w:r>
          </w:p>
        </w:tc>
        <w:tc>
          <w:tcPr>
            <w:tcW w:w="1231"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jc w:val="center"/>
              <w:rPr>
                <w:rFonts w:ascii="宋体" w:hAnsi="宋体" w:cs="宋体"/>
                <w:b/>
                <w:bCs/>
                <w:snapToGrid w:val="0"/>
                <w:kern w:val="0"/>
                <w:sz w:val="24"/>
                <w:lang w:eastAsia="zh-Hans"/>
              </w:rPr>
            </w:pPr>
            <w:r>
              <w:rPr>
                <w:rFonts w:hint="eastAsia" w:ascii="宋体" w:hAnsi="宋体" w:cs="宋体"/>
                <w:b/>
                <w:bCs/>
                <w:snapToGrid w:val="0"/>
                <w:kern w:val="0"/>
                <w:sz w:val="24"/>
                <w:lang w:eastAsia="zh-Hans"/>
              </w:rPr>
              <w:t>二级模块</w:t>
            </w:r>
          </w:p>
        </w:tc>
        <w:tc>
          <w:tcPr>
            <w:tcW w:w="2086"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widowControl/>
              <w:jc w:val="center"/>
              <w:textAlignment w:val="bottom"/>
              <w:rPr>
                <w:rFonts w:ascii="宋体" w:hAnsi="宋体" w:cs="宋体"/>
                <w:b/>
                <w:bCs/>
                <w:snapToGrid w:val="0"/>
                <w:kern w:val="0"/>
                <w:sz w:val="24"/>
              </w:rPr>
            </w:pPr>
            <w:r>
              <w:rPr>
                <w:rFonts w:hint="eastAsia" w:ascii="宋体" w:hAnsi="宋体" w:cs="宋体"/>
                <w:b/>
                <w:bCs/>
                <w:snapToGrid w:val="0"/>
                <w:kern w:val="0"/>
                <w:sz w:val="24"/>
                <w:lang w:eastAsia="zh-Hans"/>
              </w:rPr>
              <w:t>三级模块</w:t>
            </w:r>
          </w:p>
        </w:tc>
        <w:tc>
          <w:tcPr>
            <w:tcW w:w="4496"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widowControl/>
              <w:jc w:val="center"/>
              <w:textAlignment w:val="bottom"/>
              <w:rPr>
                <w:rFonts w:ascii="宋体" w:hAnsi="宋体" w:cs="宋体"/>
                <w:b/>
                <w:bCs/>
                <w:snapToGrid w:val="0"/>
                <w:kern w:val="0"/>
                <w:sz w:val="24"/>
                <w:lang w:eastAsia="zh-Hans"/>
              </w:rPr>
            </w:pPr>
            <w:r>
              <w:rPr>
                <w:rFonts w:hint="eastAsia" w:ascii="宋体" w:hAnsi="宋体" w:cs="宋体"/>
                <w:b/>
                <w:bCs/>
                <w:snapToGrid w:val="0"/>
                <w:kern w:val="0"/>
                <w:sz w:val="24"/>
                <w:lang w:eastAsia="zh-Hans"/>
              </w:rPr>
              <w:t>功能说明</w:t>
            </w:r>
          </w:p>
        </w:tc>
      </w:tr>
      <w:tr>
        <w:tblPrEx>
          <w:tblCellMar>
            <w:top w:w="15" w:type="dxa"/>
            <w:left w:w="15" w:type="dxa"/>
            <w:bottom w:w="15" w:type="dxa"/>
            <w:right w:w="15" w:type="dxa"/>
          </w:tblCellMar>
        </w:tblPrEx>
        <w:trPr>
          <w:trHeight w:val="210" w:hRule="atLeast"/>
          <w:jc w:val="center"/>
        </w:trPr>
        <w:tc>
          <w:tcPr>
            <w:tcW w:w="1260" w:type="dxa"/>
            <w:vMerge w:val="restart"/>
            <w:tcBorders>
              <w:top w:val="single" w:color="000000" w:sz="4" w:space="0"/>
              <w:left w:val="single" w:color="000000" w:sz="4" w:space="0"/>
              <w:right w:val="single" w:color="000000" w:sz="4" w:space="0"/>
            </w:tcBorders>
            <w:shd w:val="clear" w:color="auto" w:fill="auto"/>
            <w:vAlign w:val="center"/>
          </w:tcPr>
          <w:p>
            <w:pPr>
              <w:jc w:val="left"/>
              <w:rPr>
                <w:rFonts w:ascii="宋体" w:hAnsi="宋体" w:cs="宋体"/>
                <w:snapToGrid w:val="0"/>
                <w:kern w:val="0"/>
                <w:sz w:val="24"/>
              </w:rPr>
            </w:pPr>
            <w:r>
              <w:rPr>
                <w:rFonts w:hint="eastAsia" w:ascii="宋体" w:hAnsi="宋体" w:cs="宋体"/>
                <w:sz w:val="24"/>
              </w:rPr>
              <w:t>▲</w:t>
            </w:r>
            <w:r>
              <w:rPr>
                <w:rFonts w:hint="eastAsia" w:ascii="宋体" w:hAnsi="宋体" w:cs="宋体"/>
                <w:snapToGrid w:val="0"/>
                <w:kern w:val="0"/>
                <w:sz w:val="24"/>
              </w:rPr>
              <w:t>膳食资料</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菜品管理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菜品分类</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lang w:eastAsia="zh-Hans"/>
              </w:rPr>
            </w:pPr>
            <w:r>
              <w:rPr>
                <w:rFonts w:hint="eastAsia" w:ascii="宋体" w:hAnsi="宋体" w:cs="宋体"/>
                <w:snapToGrid w:val="0"/>
                <w:kern w:val="0"/>
                <w:sz w:val="24"/>
                <w:lang w:eastAsia="zh-Hans"/>
              </w:rPr>
              <w:t>支持</w:t>
            </w:r>
            <w:r>
              <w:rPr>
                <w:rFonts w:hint="eastAsia" w:ascii="宋体" w:hAnsi="宋体" w:cs="宋体"/>
                <w:snapToGrid w:val="0"/>
                <w:kern w:val="0"/>
                <w:sz w:val="24"/>
              </w:rPr>
              <w:t>自定义</w:t>
            </w:r>
            <w:r>
              <w:rPr>
                <w:rFonts w:hint="eastAsia" w:ascii="宋体" w:hAnsi="宋体" w:cs="宋体"/>
                <w:snapToGrid w:val="0"/>
                <w:kern w:val="0"/>
                <w:sz w:val="24"/>
                <w:lang w:eastAsia="zh-Hans"/>
              </w:rPr>
              <w:t>菜品分类，并在手机端展示对应类别。</w:t>
            </w:r>
          </w:p>
        </w:tc>
      </w:tr>
      <w:tr>
        <w:tblPrEx>
          <w:tblCellMar>
            <w:top w:w="15" w:type="dxa"/>
            <w:left w:w="15" w:type="dxa"/>
            <w:bottom w:w="15" w:type="dxa"/>
            <w:right w:w="15" w:type="dxa"/>
          </w:tblCellMar>
        </w:tblPrEx>
        <w:trPr>
          <w:trHeight w:val="210"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kern w:val="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kern w:val="0"/>
                <w:sz w:val="24"/>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菜品信息</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lang w:eastAsia="zh-Hans"/>
              </w:rPr>
            </w:pPr>
            <w:r>
              <w:rPr>
                <w:rFonts w:hint="eastAsia" w:ascii="宋体" w:hAnsi="宋体" w:cs="宋体"/>
                <w:snapToGrid w:val="0"/>
                <w:kern w:val="0"/>
                <w:sz w:val="24"/>
                <w:lang w:eastAsia="zh-Hans"/>
              </w:rPr>
              <w:t>支持维护膳食（菜品）信息档案，包括菜品名称、简称、划线价、职工/访客价格、灶类、图片、食材组成、规格、口味等；</w:t>
            </w:r>
          </w:p>
        </w:tc>
      </w:tr>
      <w:tr>
        <w:tblPrEx>
          <w:tblCellMar>
            <w:top w:w="15" w:type="dxa"/>
            <w:left w:w="15" w:type="dxa"/>
            <w:bottom w:w="15" w:type="dxa"/>
            <w:right w:w="15" w:type="dxa"/>
          </w:tblCellMar>
        </w:tblPrEx>
        <w:trPr>
          <w:trHeight w:val="210"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kern w:val="0"/>
                <w:sz w:val="24"/>
              </w:rPr>
            </w:pPr>
          </w:p>
        </w:tc>
        <w:tc>
          <w:tcPr>
            <w:tcW w:w="1231"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套餐管理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套餐信息</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lang w:eastAsia="zh-Hans"/>
              </w:rPr>
            </w:pPr>
            <w:r>
              <w:rPr>
                <w:rFonts w:hint="eastAsia" w:ascii="宋体" w:hAnsi="宋体" w:cs="宋体"/>
                <w:snapToGrid w:val="0"/>
                <w:kern w:val="0"/>
                <w:sz w:val="24"/>
                <w:lang w:eastAsia="zh-Hans"/>
              </w:rPr>
              <w:t>支持维护套餐设置管理，设置固定分组、不固定分组，套餐类别及类别中菜品组成，支持单选、多选等不同规则设定</w:t>
            </w:r>
          </w:p>
        </w:tc>
      </w:tr>
      <w:tr>
        <w:tblPrEx>
          <w:tblCellMar>
            <w:top w:w="15" w:type="dxa"/>
            <w:left w:w="15" w:type="dxa"/>
            <w:bottom w:w="15" w:type="dxa"/>
            <w:right w:w="15" w:type="dxa"/>
          </w:tblCellMar>
        </w:tblPrEx>
        <w:trPr>
          <w:trHeight w:val="210"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菜单管理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菜单模板</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模板设置</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lang w:eastAsia="zh-Hans"/>
              </w:rPr>
            </w:pPr>
            <w:r>
              <w:rPr>
                <w:rFonts w:hint="eastAsia" w:ascii="宋体" w:hAnsi="宋体" w:cs="宋体"/>
                <w:snapToGrid w:val="0"/>
                <w:kern w:val="0"/>
                <w:sz w:val="24"/>
                <w:lang w:eastAsia="zh-Hans"/>
              </w:rPr>
              <w:t>支持设置日、周等周菜单模板设置（包括供货量、限购量等）</w:t>
            </w:r>
          </w:p>
        </w:tc>
      </w:tr>
      <w:tr>
        <w:tblPrEx>
          <w:tblCellMar>
            <w:top w:w="15" w:type="dxa"/>
            <w:left w:w="15" w:type="dxa"/>
            <w:bottom w:w="15" w:type="dxa"/>
            <w:right w:w="15" w:type="dxa"/>
          </w:tblCellMar>
        </w:tblPrEx>
        <w:trPr>
          <w:trHeight w:val="210"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kern w:val="0"/>
                <w:sz w:val="24"/>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z w:val="24"/>
              </w:rPr>
              <w:t>▲</w:t>
            </w:r>
            <w:r>
              <w:rPr>
                <w:rFonts w:hint="eastAsia" w:ascii="宋体" w:hAnsi="宋体" w:cs="宋体"/>
                <w:snapToGrid w:val="0"/>
                <w:kern w:val="0"/>
                <w:sz w:val="24"/>
              </w:rPr>
              <w:t>菜单发布</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菜单发布</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lang w:eastAsia="zh-Hans"/>
              </w:rPr>
            </w:pPr>
            <w:r>
              <w:rPr>
                <w:rFonts w:hint="eastAsia" w:ascii="宋体" w:hAnsi="宋体" w:cs="宋体"/>
                <w:snapToGrid w:val="0"/>
                <w:kern w:val="0"/>
                <w:sz w:val="24"/>
                <w:lang w:eastAsia="zh-Hans"/>
              </w:rPr>
              <w:t>支持菜单一日、多日、一季、一年等不同菜单发布规则。</w:t>
            </w:r>
          </w:p>
        </w:tc>
      </w:tr>
      <w:tr>
        <w:tblPrEx>
          <w:tblCellMar>
            <w:top w:w="15" w:type="dxa"/>
            <w:left w:w="15" w:type="dxa"/>
            <w:bottom w:w="15" w:type="dxa"/>
            <w:right w:w="15" w:type="dxa"/>
          </w:tblCellMar>
        </w:tblPrEx>
        <w:trPr>
          <w:trHeight w:val="210"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kern w:val="0"/>
                <w:sz w:val="24"/>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菜单发布明细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菜单发布明细</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lang w:eastAsia="zh-Hans"/>
              </w:rPr>
            </w:pPr>
            <w:r>
              <w:rPr>
                <w:rFonts w:hint="eastAsia" w:ascii="宋体" w:hAnsi="宋体" w:cs="宋体"/>
                <w:snapToGrid w:val="0"/>
                <w:kern w:val="0"/>
                <w:sz w:val="24"/>
                <w:lang w:eastAsia="zh-Hans"/>
              </w:rPr>
              <w:t>支持查看发布菜单明细，支持自定义维护（增加、修改或删除等）</w:t>
            </w:r>
          </w:p>
        </w:tc>
      </w:tr>
      <w:tr>
        <w:tblPrEx>
          <w:tblCellMar>
            <w:top w:w="15" w:type="dxa"/>
            <w:left w:w="15" w:type="dxa"/>
            <w:bottom w:w="15" w:type="dxa"/>
            <w:right w:w="15" w:type="dxa"/>
          </w:tblCellMar>
        </w:tblPrEx>
        <w:trPr>
          <w:trHeight w:val="225" w:hRule="atLeast"/>
          <w:jc w:val="center"/>
        </w:trPr>
        <w:tc>
          <w:tcPr>
            <w:tcW w:w="1260"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商户管理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商户设置</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商户信息</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lang w:eastAsia="zh-Hans"/>
              </w:rPr>
            </w:pPr>
            <w:r>
              <w:rPr>
                <w:rFonts w:hint="eastAsia" w:ascii="宋体" w:hAnsi="宋体" w:cs="宋体"/>
                <w:snapToGrid w:val="0"/>
                <w:kern w:val="0"/>
                <w:sz w:val="24"/>
                <w:lang w:eastAsia="zh-Hans"/>
              </w:rPr>
              <w:t>支持食堂情况介绍、图片、联系方式，以及商户微信支付账户维护；</w:t>
            </w:r>
          </w:p>
        </w:tc>
      </w:tr>
      <w:tr>
        <w:tblPrEx>
          <w:tblCellMar>
            <w:top w:w="15" w:type="dxa"/>
            <w:left w:w="15" w:type="dxa"/>
            <w:bottom w:w="15" w:type="dxa"/>
            <w:right w:w="15" w:type="dxa"/>
          </w:tblCellMar>
        </w:tblPrEx>
        <w:trPr>
          <w:trHeight w:val="225" w:hRule="atLeast"/>
          <w:jc w:val="center"/>
        </w:trPr>
        <w:tc>
          <w:tcPr>
            <w:tcW w:w="1260" w:type="dxa"/>
            <w:vMerge w:val="continue"/>
            <w:tcBorders>
              <w:left w:val="single" w:color="000000" w:sz="4" w:space="0"/>
              <w:right w:val="single" w:color="000000" w:sz="4" w:space="0"/>
            </w:tcBorders>
            <w:shd w:val="clear" w:color="auto" w:fill="auto"/>
            <w:vAlign w:val="center"/>
          </w:tcPr>
          <w:p>
            <w:pPr>
              <w:jc w:val="left"/>
              <w:rPr>
                <w:rFonts w:ascii="宋体" w:hAnsi="宋体" w:cs="宋体"/>
                <w:snapToGrid w:val="0"/>
                <w:kern w:val="0"/>
                <w:sz w:val="24"/>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档口管理</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档口信息</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rPr>
            </w:pPr>
            <w:r>
              <w:rPr>
                <w:rFonts w:hint="eastAsia" w:ascii="宋体" w:hAnsi="宋体" w:cs="宋体"/>
                <w:snapToGrid w:val="0"/>
                <w:kern w:val="0"/>
                <w:sz w:val="24"/>
                <w:lang w:eastAsia="zh-Hans"/>
              </w:rPr>
              <w:t>自定义维护档口信息及</w:t>
            </w:r>
            <w:r>
              <w:rPr>
                <w:rFonts w:hint="eastAsia" w:ascii="宋体" w:hAnsi="宋体" w:cs="宋体"/>
                <w:snapToGrid w:val="0"/>
                <w:kern w:val="0"/>
                <w:sz w:val="24"/>
              </w:rPr>
              <w:t>规则</w:t>
            </w:r>
            <w:r>
              <w:rPr>
                <w:rFonts w:hint="eastAsia" w:ascii="宋体" w:hAnsi="宋体" w:cs="宋体"/>
                <w:snapToGrid w:val="0"/>
                <w:kern w:val="0"/>
                <w:sz w:val="24"/>
                <w:lang w:eastAsia="zh-Hans"/>
              </w:rPr>
              <w:t>设定，食堂不同菜单设定等</w:t>
            </w:r>
            <w:r>
              <w:rPr>
                <w:rFonts w:hint="eastAsia" w:ascii="宋体" w:hAnsi="宋体" w:cs="宋体"/>
                <w:snapToGrid w:val="0"/>
                <w:kern w:val="0"/>
                <w:sz w:val="24"/>
              </w:rPr>
              <w:t>，并且支持档口</w:t>
            </w:r>
            <w:r>
              <w:rPr>
                <w:rFonts w:hint="eastAsia" w:ascii="宋体" w:hAnsi="宋体" w:cs="宋体"/>
                <w:snapToGrid w:val="0"/>
                <w:kern w:val="0"/>
                <w:sz w:val="24"/>
                <w:lang w:eastAsia="zh-Hans"/>
              </w:rPr>
              <w:t>介绍、图片、</w:t>
            </w:r>
            <w:r>
              <w:rPr>
                <w:rFonts w:hint="eastAsia" w:ascii="宋体" w:hAnsi="宋体" w:cs="宋体"/>
                <w:snapToGrid w:val="0"/>
                <w:kern w:val="0"/>
                <w:sz w:val="24"/>
              </w:rPr>
              <w:t>备注等信息；</w:t>
            </w:r>
          </w:p>
        </w:tc>
      </w:tr>
      <w:tr>
        <w:tblPrEx>
          <w:tblCellMar>
            <w:top w:w="15" w:type="dxa"/>
            <w:left w:w="15" w:type="dxa"/>
            <w:bottom w:w="15" w:type="dxa"/>
            <w:right w:w="15" w:type="dxa"/>
          </w:tblCellMar>
        </w:tblPrEx>
        <w:trPr>
          <w:trHeight w:val="333" w:hRule="atLeast"/>
          <w:jc w:val="center"/>
        </w:trPr>
        <w:tc>
          <w:tcPr>
            <w:tcW w:w="1260"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kern w:val="0"/>
                <w:sz w:val="24"/>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营业时间段</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营业时间段</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rPr>
            </w:pPr>
            <w:r>
              <w:rPr>
                <w:rFonts w:hint="eastAsia" w:ascii="宋体" w:hAnsi="宋体" w:cs="宋体"/>
                <w:snapToGrid w:val="0"/>
                <w:kern w:val="0"/>
                <w:sz w:val="24"/>
              </w:rPr>
              <w:t>设置档口营业时间段；</w:t>
            </w:r>
          </w:p>
        </w:tc>
      </w:tr>
      <w:tr>
        <w:tblPrEx>
          <w:tblCellMar>
            <w:top w:w="15" w:type="dxa"/>
            <w:left w:w="15" w:type="dxa"/>
            <w:bottom w:w="15" w:type="dxa"/>
            <w:right w:w="15" w:type="dxa"/>
          </w:tblCellMar>
        </w:tblPrEx>
        <w:trPr>
          <w:trHeight w:val="225"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订单管理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订单交易</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订单查询</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lang w:eastAsia="zh-Hans"/>
              </w:rPr>
            </w:pPr>
            <w:r>
              <w:rPr>
                <w:rFonts w:hint="eastAsia" w:ascii="宋体" w:hAnsi="宋体" w:cs="宋体"/>
                <w:snapToGrid w:val="0"/>
                <w:kern w:val="0"/>
                <w:sz w:val="24"/>
                <w:lang w:eastAsia="zh-Hans"/>
              </w:rPr>
              <w:t>支持线上、线下所有</w:t>
            </w:r>
            <w:r>
              <w:rPr>
                <w:rFonts w:hint="eastAsia" w:ascii="宋体" w:hAnsi="宋体" w:cs="宋体"/>
                <w:snapToGrid w:val="0"/>
                <w:kern w:val="0"/>
                <w:sz w:val="24"/>
              </w:rPr>
              <w:t>订单明细查询及状态查询等；</w:t>
            </w:r>
          </w:p>
        </w:tc>
      </w:tr>
      <w:tr>
        <w:tblPrEx>
          <w:tblCellMar>
            <w:top w:w="15" w:type="dxa"/>
            <w:left w:w="15" w:type="dxa"/>
            <w:bottom w:w="15" w:type="dxa"/>
            <w:right w:w="15" w:type="dxa"/>
          </w:tblCellMar>
        </w:tblPrEx>
        <w:trPr>
          <w:trHeight w:val="255"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kern w:val="0"/>
                <w:sz w:val="24"/>
              </w:rPr>
            </w:pPr>
          </w:p>
        </w:tc>
        <w:tc>
          <w:tcPr>
            <w:tcW w:w="123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textAlignment w:val="center"/>
              <w:rPr>
                <w:rFonts w:ascii="宋体" w:hAnsi="宋体" w:cs="宋体"/>
                <w:snapToGrid w:val="0"/>
                <w:kern w:val="0"/>
                <w:sz w:val="24"/>
              </w:rPr>
            </w:pPr>
            <w:r>
              <w:rPr>
                <w:rFonts w:hint="eastAsia" w:ascii="宋体" w:hAnsi="宋体" w:cs="宋体"/>
                <w:snapToGrid w:val="0"/>
                <w:kern w:val="0"/>
                <w:sz w:val="24"/>
              </w:rPr>
              <w:t>订单处理</w:t>
            </w:r>
          </w:p>
        </w:tc>
        <w:tc>
          <w:tcPr>
            <w:tcW w:w="208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订单补退</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lang w:eastAsia="zh-Hans"/>
              </w:rPr>
            </w:pPr>
            <w:r>
              <w:rPr>
                <w:rFonts w:hint="eastAsia" w:ascii="宋体" w:hAnsi="宋体" w:cs="宋体"/>
                <w:snapToGrid w:val="0"/>
                <w:kern w:val="0"/>
                <w:sz w:val="24"/>
                <w:lang w:eastAsia="zh-Hans"/>
              </w:rPr>
              <w:t>支持患者或访客订单退订或补订管理；</w:t>
            </w:r>
          </w:p>
        </w:tc>
      </w:tr>
      <w:tr>
        <w:tblPrEx>
          <w:tblCellMar>
            <w:top w:w="15" w:type="dxa"/>
            <w:left w:w="15" w:type="dxa"/>
            <w:bottom w:w="15" w:type="dxa"/>
            <w:right w:w="15" w:type="dxa"/>
          </w:tblCellMar>
        </w:tblPrEx>
        <w:trPr>
          <w:trHeight w:val="225" w:hRule="atLeast"/>
          <w:jc w:val="center"/>
        </w:trPr>
        <w:tc>
          <w:tcPr>
            <w:tcW w:w="1260" w:type="dxa"/>
            <w:vMerge w:val="restart"/>
            <w:tcBorders>
              <w:top w:val="single" w:color="000000" w:sz="4" w:space="0"/>
              <w:left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z w:val="24"/>
              </w:rPr>
              <w:t>▲</w:t>
            </w:r>
            <w:r>
              <w:rPr>
                <w:rFonts w:hint="eastAsia" w:ascii="宋体" w:hAnsi="宋体" w:cs="宋体"/>
                <w:snapToGrid w:val="0"/>
                <w:kern w:val="0"/>
                <w:sz w:val="24"/>
              </w:rPr>
              <w:t>配送中心</w:t>
            </w:r>
          </w:p>
        </w:tc>
        <w:tc>
          <w:tcPr>
            <w:tcW w:w="1231" w:type="dxa"/>
            <w:vMerge w:val="restart"/>
            <w:tcBorders>
              <w:top w:val="single" w:color="auto" w:sz="4" w:space="0"/>
              <w:left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送餐管理</w:t>
            </w:r>
          </w:p>
        </w:tc>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送餐单</w:t>
            </w:r>
          </w:p>
        </w:tc>
        <w:tc>
          <w:tcPr>
            <w:tcW w:w="4496" w:type="dxa"/>
            <w:tcBorders>
              <w:top w:val="single" w:color="000000" w:sz="4" w:space="0"/>
              <w:left w:val="single" w:color="auto"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lang w:eastAsia="zh-Hans"/>
              </w:rPr>
              <w:t>实现患者、访客</w:t>
            </w:r>
            <w:r>
              <w:rPr>
                <w:rFonts w:hint="eastAsia" w:ascii="宋体" w:hAnsi="宋体" w:cs="宋体"/>
                <w:snapToGrid w:val="0"/>
                <w:kern w:val="0"/>
                <w:sz w:val="24"/>
              </w:rPr>
              <w:t>按</w:t>
            </w:r>
            <w:r>
              <w:rPr>
                <w:rFonts w:hint="eastAsia" w:ascii="宋体" w:hAnsi="宋体" w:cs="宋体"/>
                <w:snapToGrid w:val="0"/>
                <w:kern w:val="0"/>
                <w:sz w:val="24"/>
                <w:lang w:eastAsia="zh-Hans"/>
              </w:rPr>
              <w:t>病区</w:t>
            </w:r>
            <w:r>
              <w:rPr>
                <w:rFonts w:hint="eastAsia" w:ascii="宋体" w:hAnsi="宋体" w:cs="宋体"/>
                <w:snapToGrid w:val="0"/>
                <w:kern w:val="0"/>
                <w:sz w:val="24"/>
              </w:rPr>
              <w:t>、按灶类统计</w:t>
            </w:r>
            <w:r>
              <w:rPr>
                <w:rFonts w:hint="eastAsia" w:ascii="宋体" w:hAnsi="宋体" w:cs="宋体"/>
                <w:snapToGrid w:val="0"/>
                <w:kern w:val="0"/>
                <w:sz w:val="24"/>
                <w:lang w:eastAsia="zh-Hans"/>
              </w:rPr>
              <w:t>送餐明细</w:t>
            </w:r>
            <w:r>
              <w:rPr>
                <w:rFonts w:hint="eastAsia" w:ascii="宋体" w:hAnsi="宋体" w:cs="宋体"/>
                <w:snapToGrid w:val="0"/>
                <w:kern w:val="0"/>
                <w:sz w:val="24"/>
              </w:rPr>
              <w:t>；</w:t>
            </w:r>
          </w:p>
        </w:tc>
      </w:tr>
      <w:tr>
        <w:tblPrEx>
          <w:tblCellMar>
            <w:top w:w="15" w:type="dxa"/>
            <w:left w:w="15" w:type="dxa"/>
            <w:bottom w:w="15" w:type="dxa"/>
            <w:right w:w="15" w:type="dxa"/>
          </w:tblCellMar>
        </w:tblPrEx>
        <w:trPr>
          <w:trHeight w:val="225" w:hRule="atLeast"/>
          <w:jc w:val="center"/>
        </w:trPr>
        <w:tc>
          <w:tcPr>
            <w:tcW w:w="1260" w:type="dxa"/>
            <w:vMerge w:val="continue"/>
            <w:tcBorders>
              <w:left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1231" w:type="dxa"/>
            <w:vMerge w:val="continue"/>
            <w:tcBorders>
              <w:left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送餐单（地址）</w:t>
            </w:r>
          </w:p>
        </w:tc>
        <w:tc>
          <w:tcPr>
            <w:tcW w:w="4496" w:type="dxa"/>
            <w:tcBorders>
              <w:top w:val="single" w:color="000000" w:sz="4" w:space="0"/>
              <w:left w:val="single" w:color="auto"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lang w:eastAsia="zh-Hans"/>
              </w:rPr>
              <w:t>实现送餐地址统计</w:t>
            </w:r>
            <w:r>
              <w:rPr>
                <w:rFonts w:hint="eastAsia" w:ascii="宋体" w:hAnsi="宋体" w:cs="宋体"/>
                <w:snapToGrid w:val="0"/>
                <w:kern w:val="0"/>
                <w:sz w:val="24"/>
              </w:rPr>
              <w:t>；</w:t>
            </w:r>
          </w:p>
        </w:tc>
      </w:tr>
      <w:tr>
        <w:tblPrEx>
          <w:tblCellMar>
            <w:top w:w="15" w:type="dxa"/>
            <w:left w:w="15" w:type="dxa"/>
            <w:bottom w:w="15" w:type="dxa"/>
            <w:right w:w="15" w:type="dxa"/>
          </w:tblCellMar>
        </w:tblPrEx>
        <w:trPr>
          <w:trHeight w:val="225" w:hRule="atLeast"/>
          <w:jc w:val="center"/>
        </w:trPr>
        <w:tc>
          <w:tcPr>
            <w:tcW w:w="1260" w:type="dxa"/>
            <w:vMerge w:val="continue"/>
            <w:tcBorders>
              <w:left w:val="single" w:color="000000"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1231" w:type="dxa"/>
            <w:vMerge w:val="continue"/>
            <w:tcBorders>
              <w:left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2086" w:type="dxa"/>
            <w:tcBorders>
              <w:top w:val="single" w:color="auto" w:sz="4" w:space="0"/>
              <w:left w:val="single" w:color="auto"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送餐标签</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自定义设置送餐标签，支持批量打印；</w:t>
            </w:r>
          </w:p>
        </w:tc>
      </w:tr>
      <w:tr>
        <w:tblPrEx>
          <w:tblCellMar>
            <w:top w:w="15" w:type="dxa"/>
            <w:left w:w="15" w:type="dxa"/>
            <w:bottom w:w="15" w:type="dxa"/>
            <w:right w:w="15" w:type="dxa"/>
          </w:tblCellMar>
        </w:tblPrEx>
        <w:trPr>
          <w:trHeight w:val="225" w:hRule="atLeast"/>
          <w:jc w:val="center"/>
        </w:trPr>
        <w:tc>
          <w:tcPr>
            <w:tcW w:w="1260" w:type="dxa"/>
            <w:vMerge w:val="restart"/>
            <w:tcBorders>
              <w:top w:val="single" w:color="auto" w:sz="4" w:space="0"/>
              <w:left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后厨管理</w:t>
            </w:r>
          </w:p>
        </w:tc>
        <w:tc>
          <w:tcPr>
            <w:tcW w:w="12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后厨报表</w:t>
            </w: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bottom"/>
              <w:rPr>
                <w:rFonts w:ascii="宋体" w:hAnsi="宋体" w:cs="宋体"/>
                <w:sz w:val="24"/>
              </w:rPr>
            </w:pPr>
            <w:r>
              <w:rPr>
                <w:rFonts w:hint="eastAsia" w:ascii="宋体" w:hAnsi="宋体" w:cs="宋体"/>
                <w:sz w:val="24"/>
              </w:rPr>
              <w:t>灶类汇总表</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按灶类统计不同用户类型的菜品明细和订餐份数；</w:t>
            </w:r>
          </w:p>
        </w:tc>
      </w:tr>
      <w:tr>
        <w:tblPrEx>
          <w:tblCellMar>
            <w:top w:w="15" w:type="dxa"/>
            <w:left w:w="15" w:type="dxa"/>
            <w:bottom w:w="15" w:type="dxa"/>
            <w:right w:w="15" w:type="dxa"/>
          </w:tblCellMar>
        </w:tblPrEx>
        <w:trPr>
          <w:trHeight w:val="225" w:hRule="atLeast"/>
          <w:jc w:val="center"/>
        </w:trPr>
        <w:tc>
          <w:tcPr>
            <w:tcW w:w="1260" w:type="dxa"/>
            <w:vMerge w:val="continue"/>
            <w:tcBorders>
              <w:left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1231" w:type="dxa"/>
            <w:vMerge w:val="continue"/>
            <w:tcBorders>
              <w:left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bottom"/>
              <w:rPr>
                <w:rFonts w:ascii="宋体" w:hAnsi="宋体" w:cs="宋体"/>
                <w:sz w:val="24"/>
                <w:lang w:eastAsia="zh-Hans"/>
              </w:rPr>
            </w:pPr>
            <w:r>
              <w:rPr>
                <w:rFonts w:hint="eastAsia" w:ascii="宋体" w:hAnsi="宋体" w:cs="宋体"/>
                <w:sz w:val="24"/>
                <w:lang w:eastAsia="zh-Hans"/>
              </w:rPr>
              <w:t>菜品汇总表</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按灶类统计</w:t>
            </w:r>
            <w:r>
              <w:rPr>
                <w:rFonts w:hint="eastAsia" w:ascii="宋体" w:hAnsi="宋体" w:cs="宋体"/>
                <w:snapToGrid w:val="0"/>
                <w:kern w:val="0"/>
                <w:sz w:val="24"/>
                <w:lang w:eastAsia="zh-Hans"/>
              </w:rPr>
              <w:t>各</w:t>
            </w:r>
            <w:r>
              <w:rPr>
                <w:rFonts w:hint="eastAsia" w:ascii="宋体" w:hAnsi="宋体" w:cs="宋体"/>
                <w:snapToGrid w:val="0"/>
                <w:kern w:val="0"/>
                <w:sz w:val="24"/>
              </w:rPr>
              <w:t>菜品份数</w:t>
            </w:r>
            <w:r>
              <w:rPr>
                <w:rFonts w:ascii="宋体" w:hAnsi="宋体" w:cs="宋体"/>
                <w:snapToGrid w:val="0"/>
                <w:kern w:val="0"/>
                <w:sz w:val="24"/>
              </w:rPr>
              <w:t>；</w:t>
            </w:r>
          </w:p>
        </w:tc>
      </w:tr>
      <w:tr>
        <w:tblPrEx>
          <w:tblCellMar>
            <w:top w:w="15" w:type="dxa"/>
            <w:left w:w="15" w:type="dxa"/>
            <w:bottom w:w="15" w:type="dxa"/>
            <w:right w:w="15" w:type="dxa"/>
          </w:tblCellMar>
        </w:tblPrEx>
        <w:trPr>
          <w:trHeight w:val="225" w:hRule="atLeast"/>
          <w:jc w:val="center"/>
        </w:trPr>
        <w:tc>
          <w:tcPr>
            <w:tcW w:w="1260" w:type="dxa"/>
            <w:vMerge w:val="continue"/>
            <w:tcBorders>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z w:val="24"/>
              </w:rPr>
              <w:t>菜品用量明细表</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查询菜品用量明细，并且支持增加预估份数进行汇总统计；</w:t>
            </w:r>
          </w:p>
        </w:tc>
      </w:tr>
      <w:tr>
        <w:tblPrEx>
          <w:tblCellMar>
            <w:top w:w="15" w:type="dxa"/>
            <w:left w:w="15" w:type="dxa"/>
            <w:bottom w:w="15" w:type="dxa"/>
            <w:right w:w="15" w:type="dxa"/>
          </w:tblCellMar>
        </w:tblPrEx>
        <w:trPr>
          <w:trHeight w:val="225" w:hRule="atLeast"/>
          <w:jc w:val="center"/>
        </w:trPr>
        <w:tc>
          <w:tcPr>
            <w:tcW w:w="1260" w:type="dxa"/>
            <w:vMerge w:val="restart"/>
            <w:tcBorders>
              <w:left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报表中心</w:t>
            </w:r>
          </w:p>
        </w:tc>
        <w:tc>
          <w:tcPr>
            <w:tcW w:w="1231" w:type="dxa"/>
            <w:vMerge w:val="restart"/>
            <w:tcBorders>
              <w:top w:val="single" w:color="auto" w:sz="4" w:space="0"/>
              <w:left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营业报表</w:t>
            </w: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lang w:eastAsia="zh-Hans"/>
              </w:rPr>
              <w:t>营业额统计</w:t>
            </w:r>
            <w:r>
              <w:rPr>
                <w:rFonts w:hint="eastAsia" w:ascii="宋体" w:hAnsi="宋体" w:cs="宋体"/>
                <w:snapToGrid w:val="0"/>
                <w:kern w:val="0"/>
                <w:sz w:val="24"/>
              </w:rPr>
              <w:t>表</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按订单数量、营业场所等不同维度统计销售营业额情况；</w:t>
            </w:r>
          </w:p>
        </w:tc>
      </w:tr>
      <w:tr>
        <w:tblPrEx>
          <w:tblCellMar>
            <w:top w:w="15" w:type="dxa"/>
            <w:left w:w="15" w:type="dxa"/>
            <w:bottom w:w="15" w:type="dxa"/>
            <w:right w:w="15" w:type="dxa"/>
          </w:tblCellMar>
        </w:tblPrEx>
        <w:trPr>
          <w:trHeight w:val="225" w:hRule="atLeast"/>
          <w:jc w:val="center"/>
        </w:trPr>
        <w:tc>
          <w:tcPr>
            <w:tcW w:w="1260" w:type="dxa"/>
            <w:vMerge w:val="continue"/>
            <w:tcBorders>
              <w:left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1231" w:type="dxa"/>
            <w:vMerge w:val="continue"/>
            <w:tcBorders>
              <w:left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lang w:eastAsia="zh-Hans"/>
              </w:rPr>
            </w:pPr>
            <w:r>
              <w:rPr>
                <w:rFonts w:hint="eastAsia" w:ascii="宋体" w:hAnsi="宋体" w:cs="宋体"/>
                <w:snapToGrid w:val="0"/>
                <w:kern w:val="0"/>
                <w:sz w:val="24"/>
                <w:lang w:eastAsia="zh-Hans"/>
              </w:rPr>
              <w:t>营业额来源分析表</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lang w:eastAsia="zh-Hans"/>
              </w:rPr>
            </w:pPr>
            <w:r>
              <w:rPr>
                <w:rFonts w:hint="eastAsia" w:ascii="宋体" w:hAnsi="宋体" w:cs="宋体"/>
                <w:snapToGrid w:val="0"/>
                <w:kern w:val="0"/>
                <w:sz w:val="24"/>
                <w:lang w:eastAsia="zh-Hans"/>
              </w:rPr>
              <w:t>按订餐方式自动生成不同支付方式订单数量</w:t>
            </w:r>
            <w:r>
              <w:rPr>
                <w:rFonts w:ascii="宋体" w:hAnsi="宋体" w:cs="宋体"/>
                <w:snapToGrid w:val="0"/>
                <w:kern w:val="0"/>
                <w:sz w:val="24"/>
                <w:lang w:eastAsia="zh-Hans"/>
              </w:rPr>
              <w:t>、</w:t>
            </w:r>
            <w:r>
              <w:rPr>
                <w:rFonts w:hint="eastAsia" w:ascii="宋体" w:hAnsi="宋体" w:cs="宋体"/>
                <w:snapToGrid w:val="0"/>
                <w:kern w:val="0"/>
                <w:sz w:val="24"/>
                <w:lang w:eastAsia="zh-Hans"/>
              </w:rPr>
              <w:t>订单金额</w:t>
            </w:r>
            <w:r>
              <w:rPr>
                <w:rFonts w:ascii="宋体" w:hAnsi="宋体" w:cs="宋体"/>
                <w:snapToGrid w:val="0"/>
                <w:kern w:val="0"/>
                <w:sz w:val="24"/>
                <w:lang w:eastAsia="zh-Hans"/>
              </w:rPr>
              <w:t>；</w:t>
            </w:r>
          </w:p>
        </w:tc>
      </w:tr>
      <w:tr>
        <w:tblPrEx>
          <w:tblCellMar>
            <w:top w:w="15" w:type="dxa"/>
            <w:left w:w="15" w:type="dxa"/>
            <w:bottom w:w="15" w:type="dxa"/>
            <w:right w:w="15" w:type="dxa"/>
          </w:tblCellMar>
        </w:tblPrEx>
        <w:trPr>
          <w:trHeight w:val="225" w:hRule="atLeast"/>
          <w:jc w:val="center"/>
        </w:trPr>
        <w:tc>
          <w:tcPr>
            <w:tcW w:w="1260" w:type="dxa"/>
            <w:vMerge w:val="continue"/>
            <w:tcBorders>
              <w:left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1231" w:type="dxa"/>
            <w:vMerge w:val="continue"/>
            <w:tcBorders>
              <w:left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bottom"/>
              <w:rPr>
                <w:lang w:eastAsia="zh-Hans"/>
              </w:rPr>
            </w:pPr>
            <w:r>
              <w:rPr>
                <w:rFonts w:hint="eastAsia"/>
                <w:lang w:eastAsia="zh-Hans"/>
              </w:rPr>
              <w:t>消费结算统计表</w:t>
            </w:r>
          </w:p>
          <w:p>
            <w:pPr>
              <w:pStyle w:val="2"/>
              <w:ind w:left="0" w:leftChars="0"/>
              <w:rPr>
                <w:lang w:eastAsia="zh-Hans"/>
              </w:rPr>
            </w:pPr>
            <w:r>
              <w:rPr>
                <w:rFonts w:ascii="宋体" w:hAnsi="宋体" w:cs="宋体"/>
                <w:snapToGrid w:val="0"/>
                <w:kern w:val="0"/>
                <w:sz w:val="24"/>
                <w:lang w:eastAsia="zh-Hans"/>
              </w:rPr>
              <w:t>（</w:t>
            </w:r>
            <w:r>
              <w:rPr>
                <w:rFonts w:hint="eastAsia" w:ascii="宋体" w:hAnsi="宋体" w:cs="宋体"/>
                <w:snapToGrid w:val="0"/>
                <w:kern w:val="0"/>
                <w:sz w:val="24"/>
                <w:lang w:eastAsia="zh-Hans"/>
              </w:rPr>
              <w:t>按餐次</w:t>
            </w:r>
            <w:r>
              <w:rPr>
                <w:rFonts w:ascii="宋体" w:hAnsi="宋体" w:cs="宋体"/>
                <w:snapToGrid w:val="0"/>
                <w:kern w:val="0"/>
                <w:sz w:val="24"/>
                <w:lang w:eastAsia="zh-Hans"/>
              </w:rPr>
              <w:t>）</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lang w:eastAsia="zh-Hans"/>
              </w:rPr>
            </w:pPr>
            <w:r>
              <w:rPr>
                <w:rFonts w:hint="eastAsia" w:ascii="宋体" w:hAnsi="宋体" w:cs="宋体"/>
                <w:snapToGrid w:val="0"/>
                <w:kern w:val="0"/>
                <w:sz w:val="24"/>
                <w:lang w:eastAsia="zh-Hans"/>
              </w:rPr>
              <w:t>根据档口</w:t>
            </w:r>
            <w:r>
              <w:rPr>
                <w:rFonts w:ascii="宋体" w:hAnsi="宋体" w:cs="宋体"/>
                <w:snapToGrid w:val="0"/>
                <w:kern w:val="0"/>
                <w:sz w:val="24"/>
                <w:lang w:eastAsia="zh-Hans"/>
              </w:rPr>
              <w:t>、</w:t>
            </w:r>
            <w:r>
              <w:rPr>
                <w:rFonts w:hint="eastAsia" w:ascii="宋体" w:hAnsi="宋体" w:cs="宋体"/>
                <w:snapToGrid w:val="0"/>
                <w:kern w:val="0"/>
                <w:sz w:val="24"/>
                <w:lang w:eastAsia="zh-Hans"/>
              </w:rPr>
              <w:t>设备</w:t>
            </w:r>
            <w:r>
              <w:rPr>
                <w:rFonts w:ascii="宋体" w:hAnsi="宋体" w:cs="宋体"/>
                <w:snapToGrid w:val="0"/>
                <w:kern w:val="0"/>
                <w:sz w:val="24"/>
                <w:lang w:eastAsia="zh-Hans"/>
              </w:rPr>
              <w:t>，</w:t>
            </w:r>
            <w:r>
              <w:rPr>
                <w:rFonts w:hint="eastAsia" w:ascii="宋体" w:hAnsi="宋体" w:cs="宋体"/>
                <w:snapToGrid w:val="0"/>
                <w:kern w:val="0"/>
                <w:sz w:val="24"/>
                <w:lang w:eastAsia="zh-Hans"/>
              </w:rPr>
              <w:t>生成不同餐次消费人次</w:t>
            </w:r>
            <w:r>
              <w:rPr>
                <w:rFonts w:ascii="宋体" w:hAnsi="宋体" w:cs="宋体"/>
                <w:snapToGrid w:val="0"/>
                <w:kern w:val="0"/>
                <w:sz w:val="24"/>
                <w:lang w:eastAsia="zh-Hans"/>
              </w:rPr>
              <w:t>、</w:t>
            </w:r>
            <w:r>
              <w:rPr>
                <w:rFonts w:hint="eastAsia" w:ascii="宋体" w:hAnsi="宋体" w:cs="宋体"/>
                <w:snapToGrid w:val="0"/>
                <w:kern w:val="0"/>
                <w:sz w:val="24"/>
                <w:lang w:eastAsia="zh-Hans"/>
              </w:rPr>
              <w:t>消费金额</w:t>
            </w:r>
            <w:r>
              <w:rPr>
                <w:rFonts w:ascii="宋体" w:hAnsi="宋体" w:cs="宋体"/>
                <w:snapToGrid w:val="0"/>
                <w:kern w:val="0"/>
                <w:sz w:val="24"/>
                <w:lang w:eastAsia="zh-Hans"/>
              </w:rPr>
              <w:t>、</w:t>
            </w:r>
            <w:r>
              <w:rPr>
                <w:rFonts w:hint="eastAsia" w:ascii="宋体" w:hAnsi="宋体" w:cs="宋体"/>
                <w:snapToGrid w:val="0"/>
                <w:kern w:val="0"/>
                <w:sz w:val="24"/>
                <w:lang w:eastAsia="zh-Hans"/>
              </w:rPr>
              <w:t>退款人次</w:t>
            </w:r>
            <w:r>
              <w:rPr>
                <w:rFonts w:ascii="宋体" w:hAnsi="宋体" w:cs="宋体"/>
                <w:snapToGrid w:val="0"/>
                <w:kern w:val="0"/>
                <w:sz w:val="24"/>
                <w:lang w:eastAsia="zh-Hans"/>
              </w:rPr>
              <w:t>、</w:t>
            </w:r>
            <w:r>
              <w:rPr>
                <w:rFonts w:hint="eastAsia" w:ascii="宋体" w:hAnsi="宋体" w:cs="宋体"/>
                <w:snapToGrid w:val="0"/>
                <w:kern w:val="0"/>
                <w:sz w:val="24"/>
                <w:lang w:eastAsia="zh-Hans"/>
              </w:rPr>
              <w:t>退款金额以及合计情况</w:t>
            </w:r>
            <w:r>
              <w:rPr>
                <w:rFonts w:ascii="宋体" w:hAnsi="宋体" w:cs="宋体"/>
                <w:snapToGrid w:val="0"/>
                <w:kern w:val="0"/>
                <w:sz w:val="24"/>
                <w:lang w:eastAsia="zh-Hans"/>
              </w:rPr>
              <w:t>；</w:t>
            </w:r>
          </w:p>
        </w:tc>
      </w:tr>
      <w:tr>
        <w:tblPrEx>
          <w:tblCellMar>
            <w:top w:w="15" w:type="dxa"/>
            <w:left w:w="15" w:type="dxa"/>
            <w:bottom w:w="15" w:type="dxa"/>
            <w:right w:w="15" w:type="dxa"/>
          </w:tblCellMar>
        </w:tblPrEx>
        <w:trPr>
          <w:trHeight w:val="225" w:hRule="atLeast"/>
          <w:jc w:val="center"/>
        </w:trPr>
        <w:tc>
          <w:tcPr>
            <w:tcW w:w="1260" w:type="dxa"/>
            <w:vMerge w:val="continue"/>
            <w:tcBorders>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1231" w:type="dxa"/>
            <w:vMerge w:val="continue"/>
            <w:tcBorders>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bottom"/>
              <w:rPr>
                <w:lang w:eastAsia="zh-Hans"/>
              </w:rPr>
            </w:pPr>
            <w:r>
              <w:rPr>
                <w:rFonts w:hint="eastAsia"/>
                <w:lang w:eastAsia="zh-Hans"/>
              </w:rPr>
              <w:t>消费结算统计表</w:t>
            </w:r>
          </w:p>
          <w:p>
            <w:pPr>
              <w:widowControl/>
              <w:textAlignment w:val="bottom"/>
              <w:rPr>
                <w:rFonts w:ascii="宋体" w:hAnsi="宋体" w:cs="宋体"/>
                <w:snapToGrid w:val="0"/>
                <w:kern w:val="0"/>
                <w:sz w:val="24"/>
                <w:lang w:eastAsia="zh-Hans"/>
              </w:rPr>
            </w:pPr>
            <w:r>
              <w:rPr>
                <w:rFonts w:ascii="宋体" w:hAnsi="宋体" w:cs="宋体"/>
                <w:snapToGrid w:val="0"/>
                <w:kern w:val="0"/>
                <w:sz w:val="24"/>
                <w:lang w:eastAsia="zh-Hans"/>
              </w:rPr>
              <w:t>（</w:t>
            </w:r>
            <w:r>
              <w:rPr>
                <w:rFonts w:hint="eastAsia" w:ascii="宋体" w:hAnsi="宋体" w:cs="宋体"/>
                <w:snapToGrid w:val="0"/>
                <w:kern w:val="0"/>
                <w:sz w:val="24"/>
                <w:lang w:eastAsia="zh-Hans"/>
              </w:rPr>
              <w:t>按支付方式</w:t>
            </w:r>
            <w:r>
              <w:rPr>
                <w:rFonts w:ascii="宋体" w:hAnsi="宋体" w:cs="宋体"/>
                <w:snapToGrid w:val="0"/>
                <w:kern w:val="0"/>
                <w:sz w:val="24"/>
                <w:lang w:eastAsia="zh-Hans"/>
              </w:rPr>
              <w:t>）</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lang w:eastAsia="zh-Hans"/>
              </w:rPr>
            </w:pPr>
            <w:r>
              <w:rPr>
                <w:rFonts w:hint="eastAsia" w:ascii="宋体" w:hAnsi="宋体" w:cs="宋体"/>
                <w:snapToGrid w:val="0"/>
                <w:kern w:val="0"/>
                <w:sz w:val="24"/>
                <w:lang w:eastAsia="zh-Hans"/>
              </w:rPr>
              <w:t>根据档口</w:t>
            </w:r>
            <w:r>
              <w:rPr>
                <w:rFonts w:ascii="宋体" w:hAnsi="宋体" w:cs="宋体"/>
                <w:snapToGrid w:val="0"/>
                <w:kern w:val="0"/>
                <w:sz w:val="24"/>
                <w:lang w:eastAsia="zh-Hans"/>
              </w:rPr>
              <w:t>、</w:t>
            </w:r>
            <w:r>
              <w:rPr>
                <w:rFonts w:hint="eastAsia" w:ascii="宋体" w:hAnsi="宋体" w:cs="宋体"/>
                <w:snapToGrid w:val="0"/>
                <w:kern w:val="0"/>
                <w:sz w:val="24"/>
                <w:lang w:eastAsia="zh-Hans"/>
              </w:rPr>
              <w:t>设备</w:t>
            </w:r>
            <w:r>
              <w:rPr>
                <w:rFonts w:ascii="宋体" w:hAnsi="宋体" w:cs="宋体"/>
                <w:snapToGrid w:val="0"/>
                <w:kern w:val="0"/>
                <w:sz w:val="24"/>
                <w:lang w:eastAsia="zh-Hans"/>
              </w:rPr>
              <w:t>，</w:t>
            </w:r>
            <w:r>
              <w:rPr>
                <w:rFonts w:hint="eastAsia" w:ascii="宋体" w:hAnsi="宋体" w:cs="宋体"/>
                <w:snapToGrid w:val="0"/>
                <w:kern w:val="0"/>
                <w:sz w:val="24"/>
                <w:lang w:eastAsia="zh-Hans"/>
              </w:rPr>
              <w:t>生成不同账户消费金额以及合计情况</w:t>
            </w:r>
          </w:p>
        </w:tc>
      </w:tr>
      <w:tr>
        <w:tblPrEx>
          <w:tblCellMar>
            <w:top w:w="15" w:type="dxa"/>
            <w:left w:w="15" w:type="dxa"/>
            <w:bottom w:w="15" w:type="dxa"/>
            <w:right w:w="15" w:type="dxa"/>
          </w:tblCellMar>
        </w:tblPrEx>
        <w:trPr>
          <w:trHeight w:val="225" w:hRule="atLeast"/>
          <w:jc w:val="center"/>
        </w:trPr>
        <w:tc>
          <w:tcPr>
            <w:tcW w:w="1260" w:type="dxa"/>
            <w:vMerge w:val="restart"/>
            <w:tcBorders>
              <w:left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管理员中心</w:t>
            </w:r>
          </w:p>
        </w:tc>
        <w:tc>
          <w:tcPr>
            <w:tcW w:w="1231" w:type="dxa"/>
            <w:vMerge w:val="restart"/>
            <w:tcBorders>
              <w:top w:val="single" w:color="auto" w:sz="4" w:space="0"/>
              <w:left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管理员设置</w:t>
            </w: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角色分配</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rPr>
            </w:pPr>
            <w:r>
              <w:rPr>
                <w:rFonts w:hint="eastAsia" w:ascii="宋体" w:hAnsi="宋体" w:cs="宋体"/>
                <w:snapToGrid w:val="0"/>
                <w:kern w:val="0"/>
                <w:sz w:val="24"/>
                <w:lang w:eastAsia="zh-Hans"/>
              </w:rPr>
              <w:t>食堂管理人员根据以上功能，设置操作员账号、密码</w:t>
            </w:r>
          </w:p>
        </w:tc>
      </w:tr>
      <w:tr>
        <w:tblPrEx>
          <w:tblCellMar>
            <w:top w:w="15" w:type="dxa"/>
            <w:left w:w="15" w:type="dxa"/>
            <w:bottom w:w="15" w:type="dxa"/>
            <w:right w:w="15" w:type="dxa"/>
          </w:tblCellMar>
        </w:tblPrEx>
        <w:trPr>
          <w:trHeight w:val="225" w:hRule="atLeast"/>
          <w:jc w:val="center"/>
        </w:trPr>
        <w:tc>
          <w:tcPr>
            <w:tcW w:w="1260" w:type="dxa"/>
            <w:vMerge w:val="continue"/>
            <w:tcBorders>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1231" w:type="dxa"/>
            <w:vMerge w:val="continue"/>
            <w:tcBorders>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kern w:val="0"/>
                <w:sz w:val="24"/>
              </w:rPr>
            </w:pPr>
            <w:r>
              <w:rPr>
                <w:rFonts w:hint="eastAsia" w:ascii="宋体" w:hAnsi="宋体" w:cs="宋体"/>
                <w:snapToGrid w:val="0"/>
                <w:kern w:val="0"/>
                <w:sz w:val="24"/>
              </w:rPr>
              <w:t>角色管理</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kern w:val="0"/>
                <w:sz w:val="24"/>
              </w:rPr>
            </w:pPr>
            <w:r>
              <w:rPr>
                <w:rFonts w:hint="eastAsia" w:ascii="宋体" w:hAnsi="宋体" w:cs="宋体"/>
                <w:snapToGrid w:val="0"/>
                <w:kern w:val="0"/>
                <w:sz w:val="24"/>
                <w:lang w:eastAsia="zh-Hans"/>
              </w:rPr>
              <w:t>食堂管理人设定不同角色及相关权限，细化到每个功能模块增加、修改、删除、查询、导出等操作。</w:t>
            </w:r>
          </w:p>
        </w:tc>
      </w:tr>
      <w:tr>
        <w:tblPrEx>
          <w:tblCellMar>
            <w:top w:w="15" w:type="dxa"/>
            <w:left w:w="15" w:type="dxa"/>
            <w:bottom w:w="15" w:type="dxa"/>
            <w:right w:w="15" w:type="dxa"/>
          </w:tblCellMar>
        </w:tblPrEx>
        <w:trPr>
          <w:trHeight w:val="225" w:hRule="atLeast"/>
          <w:jc w:val="center"/>
        </w:trPr>
        <w:tc>
          <w:tcPr>
            <w:tcW w:w="1260" w:type="dxa"/>
            <w:vMerge w:val="restart"/>
            <w:tcBorders>
              <w:left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个人中心</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个人资料</w:t>
            </w: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个人资料</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kern w:val="0"/>
                <w:sz w:val="24"/>
              </w:rPr>
            </w:pPr>
            <w:r>
              <w:rPr>
                <w:rFonts w:hint="eastAsia" w:ascii="宋体" w:hAnsi="宋体" w:cs="宋体"/>
                <w:snapToGrid w:val="0"/>
                <w:kern w:val="0"/>
                <w:sz w:val="24"/>
              </w:rPr>
              <w:t>用户基本信息；</w:t>
            </w:r>
          </w:p>
        </w:tc>
      </w:tr>
      <w:tr>
        <w:tblPrEx>
          <w:tblCellMar>
            <w:top w:w="15" w:type="dxa"/>
            <w:left w:w="15" w:type="dxa"/>
            <w:bottom w:w="15" w:type="dxa"/>
            <w:right w:w="15" w:type="dxa"/>
          </w:tblCellMar>
        </w:tblPrEx>
        <w:trPr>
          <w:trHeight w:val="225" w:hRule="atLeast"/>
          <w:jc w:val="center"/>
        </w:trPr>
        <w:tc>
          <w:tcPr>
            <w:tcW w:w="1260" w:type="dxa"/>
            <w:vMerge w:val="continue"/>
            <w:tcBorders>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cs="宋体"/>
                <w:snapToGrid w:val="0"/>
                <w:kern w:val="0"/>
                <w:sz w:val="24"/>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账号管理</w:t>
            </w:r>
          </w:p>
        </w:tc>
        <w:tc>
          <w:tcPr>
            <w:tcW w:w="2086" w:type="dxa"/>
            <w:tcBorders>
              <w:top w:val="single" w:color="000000" w:sz="4" w:space="0"/>
              <w:left w:val="single" w:color="auto"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账号管理</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kern w:val="0"/>
                <w:sz w:val="24"/>
              </w:rPr>
            </w:pPr>
            <w:r>
              <w:rPr>
                <w:rFonts w:hint="eastAsia" w:ascii="宋体" w:hAnsi="宋体" w:cs="宋体"/>
                <w:snapToGrid w:val="0"/>
                <w:kern w:val="0"/>
                <w:sz w:val="24"/>
              </w:rPr>
              <w:t>绑定手机号、微信号等，</w:t>
            </w:r>
            <w:r>
              <w:rPr>
                <w:rFonts w:hint="eastAsia" w:ascii="宋体" w:hAnsi="宋体" w:cs="宋体"/>
                <w:snapToGrid w:val="0"/>
                <w:kern w:val="0"/>
                <w:sz w:val="24"/>
                <w:lang w:eastAsia="zh-Hans"/>
              </w:rPr>
              <w:t>或绑定住院信息住院号、姓名等；</w:t>
            </w:r>
          </w:p>
        </w:tc>
      </w:tr>
    </w:tbl>
    <w:p>
      <w:pPr>
        <w:pStyle w:val="2"/>
        <w:ind w:left="0" w:leftChars="0"/>
        <w:rPr>
          <w:rFonts w:ascii="宋体" w:hAnsi="宋体" w:cs="宋体"/>
          <w:sz w:val="24"/>
          <w:lang w:eastAsia="zh-Hans"/>
        </w:rPr>
      </w:pPr>
    </w:p>
    <w:p>
      <w:pPr>
        <w:pStyle w:val="7"/>
        <w:numPr>
          <w:ilvl w:val="0"/>
          <w:numId w:val="9"/>
        </w:numPr>
        <w:outlineLvl w:val="0"/>
        <w:rPr>
          <w:rFonts w:ascii="宋体" w:hAnsi="宋体" w:cs="宋体"/>
          <w:kern w:val="0"/>
          <w:sz w:val="24"/>
          <w:lang w:eastAsia="zh-Hans" w:bidi="ar"/>
        </w:rPr>
      </w:pPr>
      <w:r>
        <w:rPr>
          <w:rFonts w:hint="eastAsia" w:ascii="宋体" w:hAnsi="宋体" w:cs="宋体"/>
          <w:kern w:val="0"/>
          <w:sz w:val="24"/>
          <w:lang w:eastAsia="zh-Hans" w:bidi="ar"/>
        </w:rPr>
        <w:t>增加医院后台管理功能如下：</w:t>
      </w:r>
    </w:p>
    <w:tbl>
      <w:tblPr>
        <w:tblStyle w:val="17"/>
        <w:tblW w:w="9171" w:type="dxa"/>
        <w:jc w:val="center"/>
        <w:tblLayout w:type="fixed"/>
        <w:tblCellMar>
          <w:top w:w="15" w:type="dxa"/>
          <w:left w:w="15" w:type="dxa"/>
          <w:bottom w:w="15" w:type="dxa"/>
          <w:right w:w="15" w:type="dxa"/>
        </w:tblCellMar>
      </w:tblPr>
      <w:tblGrid>
        <w:gridCol w:w="1163"/>
        <w:gridCol w:w="1693"/>
        <w:gridCol w:w="1770"/>
        <w:gridCol w:w="4545"/>
      </w:tblGrid>
      <w:tr>
        <w:tblPrEx>
          <w:tblCellMar>
            <w:top w:w="15" w:type="dxa"/>
            <w:left w:w="15" w:type="dxa"/>
            <w:bottom w:w="15" w:type="dxa"/>
            <w:right w:w="15" w:type="dxa"/>
          </w:tblCellMar>
        </w:tblPrEx>
        <w:trPr>
          <w:trHeight w:val="467" w:hRule="atLeast"/>
          <w:jc w:val="center"/>
        </w:trPr>
        <w:tc>
          <w:tcPr>
            <w:tcW w:w="1163" w:type="dxa"/>
            <w:tcBorders>
              <w:top w:val="single" w:color="000000" w:sz="4" w:space="0"/>
              <w:left w:val="single" w:color="000000" w:sz="4" w:space="0"/>
              <w:right w:val="single" w:color="000000" w:sz="4" w:space="0"/>
            </w:tcBorders>
            <w:shd w:val="clear" w:color="auto" w:fill="A4A4A4" w:themeFill="background1" w:themeFillShade="A5"/>
            <w:vAlign w:val="center"/>
          </w:tcPr>
          <w:p>
            <w:pPr>
              <w:jc w:val="center"/>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lang w:eastAsia="zh-Hans"/>
                <w14:textFill>
                  <w14:solidFill>
                    <w14:schemeClr w14:val="tx1"/>
                  </w14:solidFill>
                </w14:textFill>
              </w:rPr>
              <w:t>一级模块</w:t>
            </w:r>
          </w:p>
        </w:tc>
        <w:tc>
          <w:tcPr>
            <w:tcW w:w="1693" w:type="dxa"/>
            <w:tcBorders>
              <w:top w:val="single" w:color="000000" w:sz="4" w:space="0"/>
              <w:left w:val="single" w:color="000000" w:sz="4" w:space="0"/>
              <w:right w:val="single" w:color="000000" w:sz="4" w:space="0"/>
            </w:tcBorders>
            <w:shd w:val="clear" w:color="auto" w:fill="A4A4A4" w:themeFill="background1" w:themeFillShade="A5"/>
            <w:vAlign w:val="center"/>
          </w:tcPr>
          <w:p>
            <w:pPr>
              <w:jc w:val="center"/>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lang w:eastAsia="zh-Hans"/>
                <w14:textFill>
                  <w14:solidFill>
                    <w14:schemeClr w14:val="tx1"/>
                  </w14:solidFill>
                </w14:textFill>
              </w:rPr>
              <w:t>二级模块</w:t>
            </w:r>
          </w:p>
        </w:tc>
        <w:tc>
          <w:tcPr>
            <w:tcW w:w="1770" w:type="dxa"/>
            <w:tcBorders>
              <w:top w:val="single" w:color="000000" w:sz="4" w:space="0"/>
              <w:left w:val="single" w:color="000000" w:sz="4" w:space="0"/>
              <w:right w:val="single" w:color="000000" w:sz="4" w:space="0"/>
            </w:tcBorders>
            <w:shd w:val="clear" w:color="auto" w:fill="A4A4A4" w:themeFill="background1" w:themeFillShade="A5"/>
            <w:vAlign w:val="center"/>
          </w:tcPr>
          <w:p>
            <w:pPr>
              <w:widowControl/>
              <w:jc w:val="center"/>
              <w:textAlignment w:val="bottom"/>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lang w:eastAsia="zh-Hans"/>
                <w14:textFill>
                  <w14:solidFill>
                    <w14:schemeClr w14:val="tx1"/>
                  </w14:solidFill>
                </w14:textFill>
              </w:rPr>
              <w:t>三级模块</w:t>
            </w:r>
          </w:p>
        </w:tc>
        <w:tc>
          <w:tcPr>
            <w:tcW w:w="4545" w:type="dxa"/>
            <w:tcBorders>
              <w:top w:val="single" w:color="000000" w:sz="4" w:space="0"/>
              <w:left w:val="single" w:color="000000" w:sz="4" w:space="0"/>
              <w:right w:val="single" w:color="000000" w:sz="4" w:space="0"/>
            </w:tcBorders>
            <w:shd w:val="clear" w:color="auto" w:fill="A4A4A4" w:themeFill="background1" w:themeFillShade="A5"/>
            <w:vAlign w:val="center"/>
          </w:tcPr>
          <w:p>
            <w:pPr>
              <w:widowControl/>
              <w:jc w:val="center"/>
              <w:textAlignment w:val="bottom"/>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lang w:eastAsia="zh-Hans"/>
                <w14:textFill>
                  <w14:solidFill>
                    <w14:schemeClr w14:val="tx1"/>
                  </w14:solidFill>
                </w14:textFill>
              </w:rPr>
              <w:t>功能说明</w:t>
            </w:r>
          </w:p>
        </w:tc>
      </w:tr>
      <w:tr>
        <w:tblPrEx>
          <w:tblCellMar>
            <w:top w:w="15" w:type="dxa"/>
            <w:left w:w="15" w:type="dxa"/>
            <w:bottom w:w="15" w:type="dxa"/>
            <w:right w:w="15" w:type="dxa"/>
          </w:tblCellMar>
        </w:tblPrEx>
        <w:trPr>
          <w:trHeight w:val="429" w:hRule="atLeast"/>
          <w:jc w:val="center"/>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基础资料</w:t>
            </w:r>
          </w:p>
        </w:tc>
        <w:tc>
          <w:tcPr>
            <w:tcW w:w="1693" w:type="dxa"/>
            <w:tcBorders>
              <w:top w:val="single" w:color="000000" w:sz="4" w:space="0"/>
              <w:left w:val="single" w:color="000000" w:sz="4" w:space="0"/>
              <w:right w:val="single" w:color="000000" w:sz="4" w:space="0"/>
            </w:tcBorders>
            <w:shd w:val="clear" w:color="auto" w:fill="auto"/>
            <w:vAlign w:val="center"/>
          </w:tcPr>
          <w:p>
            <w:pPr>
              <w:widowControl/>
              <w:jc w:val="left"/>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合作伙伴管理</w:t>
            </w:r>
          </w:p>
        </w:tc>
        <w:tc>
          <w:tcPr>
            <w:tcW w:w="1770" w:type="dxa"/>
            <w:tcBorders>
              <w:top w:val="single" w:color="000000" w:sz="4" w:space="0"/>
              <w:left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商户信息</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设置商户基础信息档案（联系人、电话、商户微信、支付宝支付账户等）；【一般用于外包食堂、超市等】</w:t>
            </w:r>
          </w:p>
        </w:tc>
      </w:tr>
      <w:tr>
        <w:tblPrEx>
          <w:tblCellMar>
            <w:top w:w="15" w:type="dxa"/>
            <w:left w:w="15" w:type="dxa"/>
            <w:bottom w:w="15" w:type="dxa"/>
            <w:right w:w="15" w:type="dxa"/>
          </w:tblCellMar>
        </w:tblPrEx>
        <w:trPr>
          <w:trHeight w:val="21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档口管理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档口信息</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设置线上、线下档口图片、说明、电话以及支持点餐人群等；</w:t>
            </w:r>
          </w:p>
        </w:tc>
      </w:tr>
      <w:tr>
        <w:tblPrEx>
          <w:tblCellMar>
            <w:top w:w="15" w:type="dxa"/>
            <w:left w:w="15" w:type="dxa"/>
            <w:bottom w:w="15" w:type="dxa"/>
            <w:right w:w="15" w:type="dxa"/>
          </w:tblCellMar>
        </w:tblPrEx>
        <w:trPr>
          <w:trHeight w:val="9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餐次管理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餐次信息</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设置餐次，开始时间、截止时间以及可预定时间、可退餐时间等；</w:t>
            </w:r>
          </w:p>
        </w:tc>
      </w:tr>
      <w:tr>
        <w:tblPrEx>
          <w:tblCellMar>
            <w:top w:w="15" w:type="dxa"/>
            <w:left w:w="15" w:type="dxa"/>
            <w:bottom w:w="15" w:type="dxa"/>
            <w:right w:w="15" w:type="dxa"/>
          </w:tblCellMar>
        </w:tblPrEx>
        <w:trPr>
          <w:trHeight w:val="225" w:hRule="atLeast"/>
          <w:jc w:val="center"/>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医院管理</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医院设置</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医院信息</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医院名称、LOGO等维护；</w:t>
            </w:r>
          </w:p>
        </w:tc>
      </w:tr>
      <w:tr>
        <w:tblPrEx>
          <w:tblCellMar>
            <w:top w:w="15" w:type="dxa"/>
            <w:left w:w="15" w:type="dxa"/>
            <w:bottom w:w="15" w:type="dxa"/>
            <w:right w:w="15" w:type="dxa"/>
          </w:tblCellMar>
        </w:tblPrEx>
        <w:trPr>
          <w:trHeight w:val="225"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14:textFill>
                  <w14:solidFill>
                    <w14:schemeClr w14:val="tx1"/>
                  </w14:solidFill>
                </w14:textFill>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送餐地址</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设置职工送餐</w:t>
            </w:r>
            <w:r>
              <w:rPr>
                <w:rFonts w:hint="eastAsia" w:ascii="宋体" w:hAnsi="宋体" w:cs="宋体"/>
                <w:snapToGrid w:val="0"/>
                <w:color w:val="000000" w:themeColor="text1"/>
                <w:kern w:val="0"/>
                <w:sz w:val="24"/>
                <w14:textFill>
                  <w14:solidFill>
                    <w14:schemeClr w14:val="tx1"/>
                  </w14:solidFill>
                </w14:textFill>
              </w:rPr>
              <w:t>地址，</w:t>
            </w:r>
            <w:r>
              <w:rPr>
                <w:rFonts w:hint="eastAsia" w:ascii="宋体" w:hAnsi="宋体" w:cs="宋体"/>
                <w:snapToGrid w:val="0"/>
                <w:color w:val="000000" w:themeColor="text1"/>
                <w:kern w:val="0"/>
                <w:sz w:val="24"/>
                <w:lang w:eastAsia="zh-Hans"/>
                <w14:textFill>
                  <w14:solidFill>
                    <w14:schemeClr w14:val="tx1"/>
                  </w14:solidFill>
                </w14:textFill>
              </w:rPr>
              <w:t>支持地址数状数据库维护；</w:t>
            </w:r>
          </w:p>
        </w:tc>
      </w:tr>
      <w:tr>
        <w:tblPrEx>
          <w:tblCellMar>
            <w:top w:w="15" w:type="dxa"/>
            <w:left w:w="15" w:type="dxa"/>
            <w:bottom w:w="15" w:type="dxa"/>
            <w:right w:w="15" w:type="dxa"/>
          </w:tblCellMar>
        </w:tblPrEx>
        <w:trPr>
          <w:trHeight w:val="482" w:hRule="atLeast"/>
          <w:jc w:val="center"/>
        </w:trPr>
        <w:tc>
          <w:tcPr>
            <w:tcW w:w="1163" w:type="dxa"/>
            <w:vMerge w:val="continue"/>
            <w:tcBorders>
              <w:left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14:textFill>
                  <w14:solidFill>
                    <w14:schemeClr w14:val="tx1"/>
                  </w14:solidFill>
                </w14:textFill>
              </w:rPr>
            </w:pPr>
          </w:p>
        </w:tc>
        <w:tc>
          <w:tcPr>
            <w:tcW w:w="1693" w:type="dxa"/>
            <w:vMerge w:val="restart"/>
            <w:tcBorders>
              <w:top w:val="single" w:color="000000" w:sz="4" w:space="0"/>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职工管理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职工信息</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查看</w:t>
            </w:r>
            <w:r>
              <w:rPr>
                <w:rFonts w:hint="eastAsia" w:ascii="宋体" w:hAnsi="宋体" w:cs="宋体"/>
                <w:snapToGrid w:val="0"/>
                <w:color w:val="000000" w:themeColor="text1"/>
                <w:kern w:val="0"/>
                <w:sz w:val="24"/>
                <w:lang w:eastAsia="zh-Hans"/>
                <w14:textFill>
                  <w14:solidFill>
                    <w14:schemeClr w14:val="tx1"/>
                  </w14:solidFill>
                </w14:textFill>
              </w:rPr>
              <w:t>职工</w:t>
            </w:r>
            <w:r>
              <w:rPr>
                <w:rFonts w:hint="eastAsia" w:ascii="宋体" w:hAnsi="宋体" w:cs="宋体"/>
                <w:snapToGrid w:val="0"/>
                <w:color w:val="000000" w:themeColor="text1"/>
                <w:kern w:val="0"/>
                <w:sz w:val="24"/>
                <w14:textFill>
                  <w14:solidFill>
                    <w14:schemeClr w14:val="tx1"/>
                  </w14:solidFill>
                </w14:textFill>
              </w:rPr>
              <w:t>信息和账户信息，如</w:t>
            </w:r>
            <w:r>
              <w:rPr>
                <w:rFonts w:hint="eastAsia" w:ascii="宋体" w:hAnsi="宋体" w:cs="宋体"/>
                <w:snapToGrid w:val="0"/>
                <w:color w:val="000000" w:themeColor="text1"/>
                <w:kern w:val="0"/>
                <w:sz w:val="24"/>
                <w:lang w:eastAsia="zh-Hans"/>
                <w14:textFill>
                  <w14:solidFill>
                    <w14:schemeClr w14:val="tx1"/>
                  </w14:solidFill>
                </w14:textFill>
              </w:rPr>
              <w:t>工号、姓名、科室等</w:t>
            </w:r>
          </w:p>
        </w:tc>
      </w:tr>
      <w:tr>
        <w:tblPrEx>
          <w:tblCellMar>
            <w:top w:w="15" w:type="dxa"/>
            <w:left w:w="15" w:type="dxa"/>
            <w:bottom w:w="15" w:type="dxa"/>
            <w:right w:w="15" w:type="dxa"/>
          </w:tblCellMar>
        </w:tblPrEx>
        <w:trPr>
          <w:trHeight w:val="482" w:hRule="atLeast"/>
          <w:jc w:val="center"/>
        </w:trPr>
        <w:tc>
          <w:tcPr>
            <w:tcW w:w="1163" w:type="dxa"/>
            <w:vMerge w:val="continue"/>
            <w:tcBorders>
              <w:left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14:textFill>
                  <w14:solidFill>
                    <w14:schemeClr w14:val="tx1"/>
                  </w14:solidFill>
                </w14:textFill>
              </w:rPr>
            </w:pPr>
          </w:p>
        </w:tc>
        <w:tc>
          <w:tcPr>
            <w:tcW w:w="169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职工账户</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支持职工账户开通及设置（个人账户、补贴账户、信用账户等）</w:t>
            </w:r>
          </w:p>
        </w:tc>
      </w:tr>
      <w:tr>
        <w:tblPrEx>
          <w:tblCellMar>
            <w:top w:w="15" w:type="dxa"/>
            <w:left w:w="15" w:type="dxa"/>
            <w:bottom w:w="15" w:type="dxa"/>
            <w:right w:w="15" w:type="dxa"/>
          </w:tblCellMar>
        </w:tblPrEx>
        <w:trPr>
          <w:trHeight w:val="509" w:hRule="atLeast"/>
          <w:jc w:val="center"/>
        </w:trPr>
        <w:tc>
          <w:tcPr>
            <w:tcW w:w="1163" w:type="dxa"/>
            <w:vMerge w:val="continue"/>
            <w:tcBorders>
              <w:left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14:textFill>
                  <w14:solidFill>
                    <w14:schemeClr w14:val="tx1"/>
                  </w14:solidFill>
                </w14:textFill>
              </w:rPr>
            </w:pPr>
          </w:p>
        </w:tc>
        <w:tc>
          <w:tcPr>
            <w:tcW w:w="169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职工卡证</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实现</w:t>
            </w:r>
            <w:r>
              <w:rPr>
                <w:rFonts w:hint="eastAsia" w:ascii="宋体" w:hAnsi="宋体" w:cs="宋体"/>
                <w:snapToGrid w:val="0"/>
                <w:color w:val="000000" w:themeColor="text1"/>
                <w:kern w:val="0"/>
                <w:sz w:val="24"/>
                <w:lang w:eastAsia="zh-Hans"/>
                <w14:textFill>
                  <w14:solidFill>
                    <w14:schemeClr w14:val="tx1"/>
                  </w14:solidFill>
                </w14:textFill>
              </w:rPr>
              <w:t>职工</w:t>
            </w:r>
            <w:r>
              <w:rPr>
                <w:rFonts w:hint="eastAsia" w:ascii="宋体" w:hAnsi="宋体" w:cs="宋体"/>
                <w:snapToGrid w:val="0"/>
                <w:color w:val="000000" w:themeColor="text1"/>
                <w:kern w:val="0"/>
                <w:sz w:val="24"/>
                <w14:textFill>
                  <w14:solidFill>
                    <w14:schemeClr w14:val="tx1"/>
                  </w14:solidFill>
                </w14:textFill>
              </w:rPr>
              <w:t>开卡管理以及结算退卡等操作</w:t>
            </w:r>
          </w:p>
        </w:tc>
      </w:tr>
      <w:tr>
        <w:tblPrEx>
          <w:tblCellMar>
            <w:top w:w="15" w:type="dxa"/>
            <w:left w:w="15" w:type="dxa"/>
            <w:bottom w:w="15" w:type="dxa"/>
            <w:right w:w="15" w:type="dxa"/>
          </w:tblCellMar>
        </w:tblPrEx>
        <w:trPr>
          <w:trHeight w:val="482" w:hRule="atLeast"/>
          <w:jc w:val="center"/>
        </w:trPr>
        <w:tc>
          <w:tcPr>
            <w:tcW w:w="1163"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14:textFill>
                  <w14:solidFill>
                    <w14:schemeClr w14:val="tx1"/>
                  </w14:solidFill>
                </w14:textFill>
              </w:rPr>
            </w:pPr>
          </w:p>
        </w:tc>
        <w:tc>
          <w:tcPr>
            <w:tcW w:w="169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职工补贴</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实现职工补贴导入、查询、汇总、发放、对冲、历史记录查询等。</w:t>
            </w:r>
          </w:p>
        </w:tc>
      </w:tr>
      <w:tr>
        <w:tblPrEx>
          <w:tblCellMar>
            <w:top w:w="15" w:type="dxa"/>
            <w:left w:w="15" w:type="dxa"/>
            <w:bottom w:w="15" w:type="dxa"/>
            <w:right w:w="15" w:type="dxa"/>
          </w:tblCellMar>
        </w:tblPrEx>
        <w:trPr>
          <w:trHeight w:val="225" w:hRule="atLeast"/>
          <w:jc w:val="center"/>
        </w:trPr>
        <w:tc>
          <w:tcPr>
            <w:tcW w:w="116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textAlignment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订单管理</w:t>
            </w:r>
          </w:p>
        </w:tc>
        <w:tc>
          <w:tcPr>
            <w:tcW w:w="169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订单交易</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订单查询</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支持订单明细查询：订单号、订单人、订单明细、支付方式等</w:t>
            </w:r>
          </w:p>
        </w:tc>
      </w:tr>
      <w:tr>
        <w:tblPrEx>
          <w:tblCellMar>
            <w:top w:w="15" w:type="dxa"/>
            <w:left w:w="15" w:type="dxa"/>
            <w:bottom w:w="15" w:type="dxa"/>
            <w:right w:w="15" w:type="dxa"/>
          </w:tblCellMar>
        </w:tblPrEx>
        <w:trPr>
          <w:trHeight w:val="554" w:hRule="atLeast"/>
          <w:jc w:val="center"/>
        </w:trPr>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设备管理</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硬件设备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设备信息</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建立设备信息和配置参数（</w:t>
            </w:r>
            <w:r>
              <w:rPr>
                <w:rFonts w:hint="eastAsia" w:ascii="宋体" w:hAnsi="宋体" w:cs="宋体"/>
                <w:snapToGrid w:val="0"/>
                <w:color w:val="000000" w:themeColor="text1"/>
                <w:kern w:val="0"/>
                <w:sz w:val="24"/>
                <w:lang w:eastAsia="zh-Hans"/>
                <w14:textFill>
                  <w14:solidFill>
                    <w14:schemeClr w14:val="tx1"/>
                  </w14:solidFill>
                </w14:textFill>
              </w:rPr>
              <w:t>台式</w:t>
            </w:r>
            <w:r>
              <w:rPr>
                <w:rFonts w:hint="eastAsia" w:ascii="宋体" w:hAnsi="宋体" w:cs="宋体"/>
                <w:snapToGrid w:val="0"/>
                <w:color w:val="000000" w:themeColor="text1"/>
                <w:kern w:val="0"/>
                <w:sz w:val="24"/>
                <w14:textFill>
                  <w14:solidFill>
                    <w14:schemeClr w14:val="tx1"/>
                  </w14:solidFill>
                </w14:textFill>
              </w:rPr>
              <w:t>消费机、</w:t>
            </w:r>
            <w:r>
              <w:rPr>
                <w:rFonts w:hint="eastAsia" w:ascii="宋体" w:hAnsi="宋体" w:cs="宋体"/>
                <w:snapToGrid w:val="0"/>
                <w:color w:val="000000" w:themeColor="text1"/>
                <w:kern w:val="0"/>
                <w:sz w:val="24"/>
                <w:lang w:eastAsia="zh-Hans"/>
                <w14:textFill>
                  <w14:solidFill>
                    <w14:schemeClr w14:val="tx1"/>
                  </w14:solidFill>
                </w14:textFill>
              </w:rPr>
              <w:t>移动消费机</w:t>
            </w:r>
            <w:r>
              <w:rPr>
                <w:rFonts w:hint="eastAsia" w:ascii="宋体" w:hAnsi="宋体" w:cs="宋体"/>
                <w:snapToGrid w:val="0"/>
                <w:color w:val="000000" w:themeColor="text1"/>
                <w:kern w:val="0"/>
                <w:sz w:val="24"/>
                <w14:textFill>
                  <w14:solidFill>
                    <w14:schemeClr w14:val="tx1"/>
                  </w14:solidFill>
                </w14:textFill>
              </w:rPr>
              <w:t>）</w:t>
            </w:r>
          </w:p>
        </w:tc>
      </w:tr>
      <w:tr>
        <w:tblPrEx>
          <w:tblCellMar>
            <w:top w:w="15" w:type="dxa"/>
            <w:left w:w="15" w:type="dxa"/>
            <w:bottom w:w="15" w:type="dxa"/>
            <w:right w:w="15" w:type="dxa"/>
          </w:tblCellMar>
        </w:tblPrEx>
        <w:trPr>
          <w:trHeight w:val="210" w:hRule="atLeast"/>
          <w:jc w:val="center"/>
        </w:trPr>
        <w:tc>
          <w:tcPr>
            <w:tcW w:w="1163" w:type="dxa"/>
            <w:vMerge w:val="restart"/>
            <w:tcBorders>
              <w:top w:val="single" w:color="000000" w:sz="4" w:space="0"/>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报表中心</w:t>
            </w:r>
          </w:p>
        </w:tc>
        <w:tc>
          <w:tcPr>
            <w:tcW w:w="1693" w:type="dxa"/>
            <w:vMerge w:val="restart"/>
            <w:tcBorders>
              <w:top w:val="single" w:color="000000" w:sz="4" w:space="0"/>
              <w:left w:val="single" w:color="000000" w:sz="4" w:space="0"/>
              <w:right w:val="single" w:color="000000" w:sz="4" w:space="0"/>
            </w:tcBorders>
            <w:shd w:val="clear" w:color="auto" w:fill="auto"/>
            <w:vAlign w:val="center"/>
          </w:tcPr>
          <w:p>
            <w:pPr>
              <w:widowControl/>
              <w:textAlignment w:val="center"/>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财务报表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营业额统计表</w:t>
            </w:r>
          </w:p>
        </w:tc>
        <w:tc>
          <w:tcPr>
            <w:tcW w:w="4545" w:type="dxa"/>
            <w:vMerge w:val="restart"/>
            <w:tcBorders>
              <w:top w:val="single" w:color="000000" w:sz="4" w:space="0"/>
              <w:left w:val="single" w:color="000000" w:sz="4" w:space="0"/>
              <w:right w:val="single" w:color="000000" w:sz="4" w:space="0"/>
            </w:tcBorders>
            <w:shd w:val="clear" w:color="auto" w:fill="auto"/>
            <w:vAlign w:val="center"/>
          </w:tcPr>
          <w:p>
            <w:pPr>
              <w:widowControl/>
              <w:textAlignment w:val="center"/>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实现财务报表的自动统计功能</w:t>
            </w:r>
            <w:r>
              <w:rPr>
                <w:rFonts w:ascii="宋体" w:hAnsi="宋体" w:cs="宋体"/>
                <w:snapToGrid w:val="0"/>
                <w:color w:val="000000" w:themeColor="text1"/>
                <w:kern w:val="0"/>
                <w:sz w:val="24"/>
                <w14:textFill>
                  <w14:solidFill>
                    <w14:schemeClr w14:val="tx1"/>
                  </w14:solidFill>
                </w14:textFill>
              </w:rPr>
              <w:t>，</w:t>
            </w:r>
            <w:r>
              <w:rPr>
                <w:rFonts w:hint="eastAsia" w:ascii="宋体" w:hAnsi="宋体" w:cs="宋体"/>
                <w:snapToGrid w:val="0"/>
                <w:color w:val="000000" w:themeColor="text1"/>
                <w:kern w:val="0"/>
                <w:sz w:val="24"/>
                <w:lang w:eastAsia="zh-Hans"/>
                <w14:textFill>
                  <w14:solidFill>
                    <w14:schemeClr w14:val="tx1"/>
                  </w14:solidFill>
                </w14:textFill>
              </w:rPr>
              <w:t>并支持多种查询条件</w:t>
            </w:r>
            <w:r>
              <w:rPr>
                <w:rFonts w:ascii="宋体" w:hAnsi="宋体" w:cs="宋体"/>
                <w:snapToGrid w:val="0"/>
                <w:color w:val="000000" w:themeColor="text1"/>
                <w:kern w:val="0"/>
                <w:sz w:val="24"/>
                <w:lang w:eastAsia="zh-Hans"/>
                <w14:textFill>
                  <w14:solidFill>
                    <w14:schemeClr w14:val="tx1"/>
                  </w14:solidFill>
                </w14:textFill>
              </w:rPr>
              <w:t>，</w:t>
            </w:r>
            <w:r>
              <w:rPr>
                <w:rFonts w:hint="eastAsia" w:ascii="宋体" w:hAnsi="宋体" w:cs="宋体"/>
                <w:snapToGrid w:val="0"/>
                <w:color w:val="000000" w:themeColor="text1"/>
                <w:kern w:val="0"/>
                <w:sz w:val="24"/>
                <w:lang w:eastAsia="zh-Hans"/>
                <w14:textFill>
                  <w14:solidFill>
                    <w14:schemeClr w14:val="tx1"/>
                  </w14:solidFill>
                </w14:textFill>
              </w:rPr>
              <w:t>如角色</w:t>
            </w:r>
            <w:r>
              <w:rPr>
                <w:rFonts w:ascii="宋体" w:hAnsi="宋体" w:cs="宋体"/>
                <w:snapToGrid w:val="0"/>
                <w:color w:val="000000" w:themeColor="text1"/>
                <w:kern w:val="0"/>
                <w:sz w:val="24"/>
                <w:lang w:eastAsia="zh-Hans"/>
                <w14:textFill>
                  <w14:solidFill>
                    <w14:schemeClr w14:val="tx1"/>
                  </w14:solidFill>
                </w14:textFill>
              </w:rPr>
              <w:t>、</w:t>
            </w:r>
            <w:r>
              <w:rPr>
                <w:rFonts w:hint="eastAsia" w:ascii="宋体" w:hAnsi="宋体" w:cs="宋体"/>
                <w:snapToGrid w:val="0"/>
                <w:color w:val="000000" w:themeColor="text1"/>
                <w:kern w:val="0"/>
                <w:sz w:val="24"/>
                <w:lang w:eastAsia="zh-Hans"/>
                <w14:textFill>
                  <w14:solidFill>
                    <w14:schemeClr w14:val="tx1"/>
                  </w14:solidFill>
                </w14:textFill>
              </w:rPr>
              <w:t>时间</w:t>
            </w:r>
            <w:r>
              <w:rPr>
                <w:rFonts w:ascii="宋体" w:hAnsi="宋体" w:cs="宋体"/>
                <w:snapToGrid w:val="0"/>
                <w:color w:val="000000" w:themeColor="text1"/>
                <w:kern w:val="0"/>
                <w:sz w:val="24"/>
                <w:lang w:eastAsia="zh-Hans"/>
                <w14:textFill>
                  <w14:solidFill>
                    <w14:schemeClr w14:val="tx1"/>
                  </w14:solidFill>
                </w14:textFill>
              </w:rPr>
              <w:t>、</w:t>
            </w:r>
            <w:r>
              <w:rPr>
                <w:rFonts w:hint="eastAsia" w:ascii="宋体" w:hAnsi="宋体" w:cs="宋体"/>
                <w:snapToGrid w:val="0"/>
                <w:color w:val="000000" w:themeColor="text1"/>
                <w:kern w:val="0"/>
                <w:sz w:val="24"/>
                <w:lang w:eastAsia="zh-Hans"/>
                <w14:textFill>
                  <w14:solidFill>
                    <w14:schemeClr w14:val="tx1"/>
                  </w14:solidFill>
                </w14:textFill>
              </w:rPr>
              <w:t>档口</w:t>
            </w:r>
            <w:r>
              <w:rPr>
                <w:rFonts w:ascii="宋体" w:hAnsi="宋体" w:cs="宋体"/>
                <w:snapToGrid w:val="0"/>
                <w:color w:val="000000" w:themeColor="text1"/>
                <w:kern w:val="0"/>
                <w:sz w:val="24"/>
                <w:lang w:eastAsia="zh-Hans"/>
                <w14:textFill>
                  <w14:solidFill>
                    <w14:schemeClr w14:val="tx1"/>
                  </w14:solidFill>
                </w14:textFill>
              </w:rPr>
              <w:t>、</w:t>
            </w:r>
            <w:r>
              <w:rPr>
                <w:rFonts w:hint="eastAsia" w:ascii="宋体" w:hAnsi="宋体" w:cs="宋体"/>
                <w:snapToGrid w:val="0"/>
                <w:color w:val="000000" w:themeColor="text1"/>
                <w:kern w:val="0"/>
                <w:sz w:val="24"/>
                <w:lang w:eastAsia="zh-Hans"/>
                <w14:textFill>
                  <w14:solidFill>
                    <w14:schemeClr w14:val="tx1"/>
                  </w14:solidFill>
                </w14:textFill>
              </w:rPr>
              <w:t>支付方式等</w:t>
            </w:r>
            <w:r>
              <w:rPr>
                <w:rFonts w:hint="eastAsia" w:ascii="宋体" w:hAnsi="宋体" w:cs="宋体"/>
                <w:snapToGrid w:val="0"/>
                <w:color w:val="000000" w:themeColor="text1"/>
                <w:kern w:val="0"/>
                <w:sz w:val="24"/>
                <w14:textFill>
                  <w14:solidFill>
                    <w14:schemeClr w14:val="tx1"/>
                  </w14:solidFill>
                </w14:textFill>
              </w:rPr>
              <w:t>；</w:t>
            </w:r>
            <w:r>
              <w:rPr>
                <w:rFonts w:hint="eastAsia" w:ascii="宋体" w:hAnsi="宋体" w:cs="宋体"/>
                <w:snapToGrid w:val="0"/>
                <w:color w:val="000000" w:themeColor="text1"/>
                <w:kern w:val="0"/>
                <w:sz w:val="24"/>
                <w:lang w:eastAsia="zh-Hans"/>
                <w14:textFill>
                  <w14:solidFill>
                    <w14:schemeClr w14:val="tx1"/>
                  </w14:solidFill>
                </w14:textFill>
              </w:rPr>
              <w:t>菜品售卖统计分析</w:t>
            </w:r>
          </w:p>
        </w:tc>
      </w:tr>
      <w:tr>
        <w:tblPrEx>
          <w:tblCellMar>
            <w:top w:w="15" w:type="dxa"/>
            <w:left w:w="15" w:type="dxa"/>
            <w:bottom w:w="15" w:type="dxa"/>
            <w:right w:w="15" w:type="dxa"/>
          </w:tblCellMar>
        </w:tblPrEx>
        <w:trPr>
          <w:trHeight w:val="210" w:hRule="atLeast"/>
          <w:jc w:val="center"/>
        </w:trPr>
        <w:tc>
          <w:tcPr>
            <w:tcW w:w="116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p>
        </w:tc>
        <w:tc>
          <w:tcPr>
            <w:tcW w:w="169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营业额来源分表</w:t>
            </w:r>
          </w:p>
        </w:tc>
        <w:tc>
          <w:tcPr>
            <w:tcW w:w="4545" w:type="dxa"/>
            <w:vMerge w:val="continue"/>
            <w:tcBorders>
              <w:left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lang w:eastAsia="zh-Hans"/>
                <w14:textFill>
                  <w14:solidFill>
                    <w14:schemeClr w14:val="tx1"/>
                  </w14:solidFill>
                </w14:textFill>
              </w:rPr>
            </w:pPr>
          </w:p>
        </w:tc>
      </w:tr>
      <w:tr>
        <w:tblPrEx>
          <w:tblCellMar>
            <w:top w:w="15" w:type="dxa"/>
            <w:left w:w="15" w:type="dxa"/>
            <w:bottom w:w="15" w:type="dxa"/>
            <w:right w:w="15" w:type="dxa"/>
          </w:tblCellMar>
        </w:tblPrEx>
        <w:trPr>
          <w:trHeight w:val="210" w:hRule="atLeast"/>
          <w:jc w:val="center"/>
        </w:trPr>
        <w:tc>
          <w:tcPr>
            <w:tcW w:w="116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p>
        </w:tc>
        <w:tc>
          <w:tcPr>
            <w:tcW w:w="169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营业额汇总表</w:t>
            </w:r>
            <w:r>
              <w:rPr>
                <w:rFonts w:ascii="宋体" w:hAnsi="宋体" w:cs="宋体"/>
                <w:snapToGrid w:val="0"/>
                <w:color w:val="000000" w:themeColor="text1"/>
                <w:kern w:val="0"/>
                <w:sz w:val="24"/>
                <w:lang w:eastAsia="zh-Hans"/>
                <w14:textFill>
                  <w14:solidFill>
                    <w14:schemeClr w14:val="tx1"/>
                  </w14:solidFill>
                </w14:textFill>
              </w:rPr>
              <w:t>（</w:t>
            </w:r>
            <w:r>
              <w:rPr>
                <w:rFonts w:hint="eastAsia" w:ascii="宋体" w:hAnsi="宋体" w:cs="宋体"/>
                <w:snapToGrid w:val="0"/>
                <w:color w:val="000000" w:themeColor="text1"/>
                <w:kern w:val="0"/>
                <w:sz w:val="24"/>
                <w:lang w:eastAsia="zh-Hans"/>
                <w14:textFill>
                  <w14:solidFill>
                    <w14:schemeClr w14:val="tx1"/>
                  </w14:solidFill>
                </w14:textFill>
              </w:rPr>
              <w:t>区域</w:t>
            </w:r>
            <w:r>
              <w:rPr>
                <w:rFonts w:ascii="宋体" w:hAnsi="宋体" w:cs="宋体"/>
                <w:snapToGrid w:val="0"/>
                <w:color w:val="000000" w:themeColor="text1"/>
                <w:kern w:val="0"/>
                <w:sz w:val="24"/>
                <w:lang w:eastAsia="zh-Hans"/>
                <w14:textFill>
                  <w14:solidFill>
                    <w14:schemeClr w14:val="tx1"/>
                  </w14:solidFill>
                </w14:textFill>
              </w:rPr>
              <w:t>）</w:t>
            </w:r>
          </w:p>
        </w:tc>
        <w:tc>
          <w:tcPr>
            <w:tcW w:w="4545" w:type="dxa"/>
            <w:vMerge w:val="continue"/>
            <w:tcBorders>
              <w:left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lang w:eastAsia="zh-Hans"/>
                <w14:textFill>
                  <w14:solidFill>
                    <w14:schemeClr w14:val="tx1"/>
                  </w14:solidFill>
                </w14:textFill>
              </w:rPr>
            </w:pPr>
          </w:p>
        </w:tc>
      </w:tr>
      <w:tr>
        <w:tblPrEx>
          <w:tblCellMar>
            <w:top w:w="15" w:type="dxa"/>
            <w:left w:w="15" w:type="dxa"/>
            <w:bottom w:w="15" w:type="dxa"/>
            <w:right w:w="15" w:type="dxa"/>
          </w:tblCellMar>
        </w:tblPrEx>
        <w:trPr>
          <w:trHeight w:val="210" w:hRule="atLeast"/>
          <w:jc w:val="center"/>
        </w:trPr>
        <w:tc>
          <w:tcPr>
            <w:tcW w:w="116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p>
        </w:tc>
        <w:tc>
          <w:tcPr>
            <w:tcW w:w="169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账户收银统计表</w:t>
            </w:r>
          </w:p>
        </w:tc>
        <w:tc>
          <w:tcPr>
            <w:tcW w:w="4545" w:type="dxa"/>
            <w:vMerge w:val="continue"/>
            <w:tcBorders>
              <w:left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lang w:eastAsia="zh-Hans"/>
                <w14:textFill>
                  <w14:solidFill>
                    <w14:schemeClr w14:val="tx1"/>
                  </w14:solidFill>
                </w14:textFill>
              </w:rPr>
            </w:pPr>
          </w:p>
        </w:tc>
      </w:tr>
      <w:tr>
        <w:tblPrEx>
          <w:tblCellMar>
            <w:top w:w="15" w:type="dxa"/>
            <w:left w:w="15" w:type="dxa"/>
            <w:bottom w:w="15" w:type="dxa"/>
            <w:right w:w="15" w:type="dxa"/>
          </w:tblCellMar>
        </w:tblPrEx>
        <w:trPr>
          <w:trHeight w:val="210" w:hRule="atLeast"/>
          <w:jc w:val="center"/>
        </w:trPr>
        <w:tc>
          <w:tcPr>
            <w:tcW w:w="116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p>
        </w:tc>
        <w:tc>
          <w:tcPr>
            <w:tcW w:w="1693" w:type="dxa"/>
            <w:vMerge w:val="continue"/>
            <w:tcBorders>
              <w:left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消费结算统计表</w:t>
            </w:r>
            <w:r>
              <w:rPr>
                <w:rFonts w:ascii="宋体" w:hAnsi="宋体" w:cs="宋体"/>
                <w:snapToGrid w:val="0"/>
                <w:color w:val="000000" w:themeColor="text1"/>
                <w:kern w:val="0"/>
                <w:sz w:val="24"/>
                <w:lang w:eastAsia="zh-Hans"/>
                <w14:textFill>
                  <w14:solidFill>
                    <w14:schemeClr w14:val="tx1"/>
                  </w14:solidFill>
                </w14:textFill>
              </w:rPr>
              <w:t>（</w:t>
            </w:r>
            <w:r>
              <w:rPr>
                <w:rFonts w:hint="eastAsia" w:ascii="宋体" w:hAnsi="宋体" w:cs="宋体"/>
                <w:snapToGrid w:val="0"/>
                <w:color w:val="000000" w:themeColor="text1"/>
                <w:kern w:val="0"/>
                <w:sz w:val="24"/>
                <w:lang w:eastAsia="zh-Hans"/>
                <w14:textFill>
                  <w14:solidFill>
                    <w14:schemeClr w14:val="tx1"/>
                  </w14:solidFill>
                </w14:textFill>
              </w:rPr>
              <w:t>按餐次</w:t>
            </w:r>
            <w:r>
              <w:rPr>
                <w:rFonts w:ascii="宋体" w:hAnsi="宋体" w:cs="宋体"/>
                <w:snapToGrid w:val="0"/>
                <w:color w:val="000000" w:themeColor="text1"/>
                <w:kern w:val="0"/>
                <w:sz w:val="24"/>
                <w:lang w:eastAsia="zh-Hans"/>
                <w14:textFill>
                  <w14:solidFill>
                    <w14:schemeClr w14:val="tx1"/>
                  </w14:solidFill>
                </w14:textFill>
              </w:rPr>
              <w:t>）</w:t>
            </w:r>
          </w:p>
        </w:tc>
        <w:tc>
          <w:tcPr>
            <w:tcW w:w="4545" w:type="dxa"/>
            <w:vMerge w:val="continue"/>
            <w:tcBorders>
              <w:left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lang w:eastAsia="zh-Hans"/>
                <w14:textFill>
                  <w14:solidFill>
                    <w14:schemeClr w14:val="tx1"/>
                  </w14:solidFill>
                </w14:textFill>
              </w:rPr>
            </w:pPr>
          </w:p>
        </w:tc>
      </w:tr>
      <w:tr>
        <w:tblPrEx>
          <w:tblCellMar>
            <w:top w:w="15" w:type="dxa"/>
            <w:left w:w="15" w:type="dxa"/>
            <w:bottom w:w="15" w:type="dxa"/>
            <w:right w:w="15" w:type="dxa"/>
          </w:tblCellMar>
        </w:tblPrEx>
        <w:trPr>
          <w:trHeight w:val="210" w:hRule="atLeast"/>
          <w:jc w:val="center"/>
        </w:trPr>
        <w:tc>
          <w:tcPr>
            <w:tcW w:w="1163"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p>
        </w:tc>
        <w:tc>
          <w:tcPr>
            <w:tcW w:w="1693"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lang w:eastAsia="zh-Hans"/>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消费结算统计表</w:t>
            </w:r>
            <w:r>
              <w:rPr>
                <w:rFonts w:ascii="宋体" w:hAnsi="宋体" w:cs="宋体"/>
                <w:snapToGrid w:val="0"/>
                <w:color w:val="000000" w:themeColor="text1"/>
                <w:kern w:val="0"/>
                <w:sz w:val="24"/>
                <w:lang w:eastAsia="zh-Hans"/>
                <w14:textFill>
                  <w14:solidFill>
                    <w14:schemeClr w14:val="tx1"/>
                  </w14:solidFill>
                </w14:textFill>
              </w:rPr>
              <w:t>（</w:t>
            </w:r>
            <w:r>
              <w:rPr>
                <w:rFonts w:hint="eastAsia" w:ascii="宋体" w:hAnsi="宋体" w:cs="宋体"/>
                <w:snapToGrid w:val="0"/>
                <w:color w:val="000000" w:themeColor="text1"/>
                <w:kern w:val="0"/>
                <w:sz w:val="24"/>
                <w:lang w:eastAsia="zh-Hans"/>
                <w14:textFill>
                  <w14:solidFill>
                    <w14:schemeClr w14:val="tx1"/>
                  </w14:solidFill>
                </w14:textFill>
              </w:rPr>
              <w:t>按支付方式</w:t>
            </w:r>
            <w:r>
              <w:rPr>
                <w:rFonts w:ascii="宋体" w:hAnsi="宋体" w:cs="宋体"/>
                <w:snapToGrid w:val="0"/>
                <w:color w:val="000000" w:themeColor="text1"/>
                <w:kern w:val="0"/>
                <w:sz w:val="24"/>
                <w:lang w:eastAsia="zh-Hans"/>
                <w14:textFill>
                  <w14:solidFill>
                    <w14:schemeClr w14:val="tx1"/>
                  </w14:solidFill>
                </w14:textFill>
              </w:rPr>
              <w:t>）</w:t>
            </w:r>
          </w:p>
        </w:tc>
        <w:tc>
          <w:tcPr>
            <w:tcW w:w="4545"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宋体" w:hAnsi="宋体" w:cs="宋体"/>
                <w:snapToGrid w:val="0"/>
                <w:color w:val="000000" w:themeColor="text1"/>
                <w:kern w:val="0"/>
                <w:sz w:val="24"/>
                <w:lang w:eastAsia="zh-Hans"/>
                <w14:textFill>
                  <w14:solidFill>
                    <w14:schemeClr w14:val="tx1"/>
                  </w14:solidFill>
                </w14:textFill>
              </w:rPr>
            </w:pPr>
          </w:p>
        </w:tc>
      </w:tr>
      <w:tr>
        <w:tblPrEx>
          <w:tblCellMar>
            <w:top w:w="15" w:type="dxa"/>
            <w:left w:w="15" w:type="dxa"/>
            <w:bottom w:w="15" w:type="dxa"/>
            <w:right w:w="15" w:type="dxa"/>
          </w:tblCellMar>
        </w:tblPrEx>
        <w:trPr>
          <w:trHeight w:val="225" w:hRule="atLeast"/>
          <w:jc w:val="center"/>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个人中心</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个人资料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个人资料</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用户基本信息；</w:t>
            </w:r>
          </w:p>
        </w:tc>
      </w:tr>
      <w:tr>
        <w:tblPrEx>
          <w:tblCellMar>
            <w:top w:w="15" w:type="dxa"/>
            <w:left w:w="15" w:type="dxa"/>
            <w:bottom w:w="15" w:type="dxa"/>
            <w:right w:w="15" w:type="dxa"/>
          </w:tblCellMar>
        </w:tblPrEx>
        <w:trPr>
          <w:trHeight w:val="225"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账号管理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账号管理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绑定手机号、微信号、支付宝等；</w:t>
            </w:r>
          </w:p>
        </w:tc>
      </w:tr>
      <w:tr>
        <w:tblPrEx>
          <w:tblCellMar>
            <w:top w:w="15" w:type="dxa"/>
            <w:left w:w="15" w:type="dxa"/>
            <w:bottom w:w="15" w:type="dxa"/>
            <w:right w:w="15" w:type="dxa"/>
          </w:tblCellMar>
        </w:tblPrEx>
        <w:trPr>
          <w:trHeight w:val="225" w:hRule="atLeast"/>
          <w:jc w:val="center"/>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管理员中心</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管理员设置</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角色分配</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医院管理人员设置操作员角色</w:t>
            </w:r>
          </w:p>
        </w:tc>
      </w:tr>
      <w:tr>
        <w:tblPrEx>
          <w:tblCellMar>
            <w:top w:w="15" w:type="dxa"/>
            <w:left w:w="15" w:type="dxa"/>
            <w:bottom w:w="15" w:type="dxa"/>
            <w:right w:w="15" w:type="dxa"/>
          </w:tblCellMar>
        </w:tblPrEx>
        <w:trPr>
          <w:trHeight w:val="225"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角色管理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设置不同角色及权限</w:t>
            </w:r>
          </w:p>
        </w:tc>
      </w:tr>
      <w:tr>
        <w:tblPrEx>
          <w:tblCellMar>
            <w:top w:w="15" w:type="dxa"/>
            <w:left w:w="15" w:type="dxa"/>
            <w:bottom w:w="15" w:type="dxa"/>
            <w:right w:w="15" w:type="dxa"/>
          </w:tblCellMar>
        </w:tblPrEx>
        <w:trPr>
          <w:trHeight w:val="225"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参数设置</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支付设置</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微信、支付宝、账户支付</w:t>
            </w:r>
          </w:p>
        </w:tc>
      </w:tr>
      <w:tr>
        <w:tblPrEx>
          <w:tblCellMar>
            <w:top w:w="15" w:type="dxa"/>
            <w:left w:w="15" w:type="dxa"/>
            <w:bottom w:w="15" w:type="dxa"/>
            <w:right w:w="15" w:type="dxa"/>
          </w:tblCellMar>
        </w:tblPrEx>
        <w:trPr>
          <w:trHeight w:val="225"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napToGrid w:val="0"/>
                <w:color w:val="000000" w:themeColor="text1"/>
                <w:kern w:val="0"/>
                <w:sz w:val="24"/>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退款设置</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订单是原路返回，线下退款方式：  线上退款方式：</w:t>
            </w:r>
          </w:p>
        </w:tc>
      </w:tr>
    </w:tbl>
    <w:p>
      <w:pPr>
        <w:pStyle w:val="2"/>
        <w:ind w:left="0" w:leftChars="0"/>
        <w:rPr>
          <w:rFonts w:ascii="宋体" w:hAnsi="宋体" w:cs="宋体"/>
          <w:sz w:val="24"/>
          <w:lang w:eastAsia="zh-Hans"/>
        </w:rPr>
      </w:pPr>
    </w:p>
    <w:p>
      <w:pPr>
        <w:pStyle w:val="7"/>
        <w:numPr>
          <w:ilvl w:val="0"/>
          <w:numId w:val="9"/>
        </w:numPr>
        <w:outlineLvl w:val="0"/>
        <w:rPr>
          <w:rFonts w:ascii="宋体" w:hAnsi="宋体" w:cs="宋体"/>
          <w:kern w:val="0"/>
          <w:sz w:val="24"/>
          <w:lang w:eastAsia="zh-Hans" w:bidi="ar"/>
        </w:rPr>
      </w:pPr>
      <w:r>
        <w:rPr>
          <w:rFonts w:hint="eastAsia" w:ascii="宋体" w:hAnsi="宋体" w:cs="宋体"/>
          <w:kern w:val="0"/>
          <w:sz w:val="24"/>
          <w:lang w:eastAsia="zh-Hans" w:bidi="ar"/>
        </w:rPr>
        <w:t>增加消费机功能如下：</w:t>
      </w:r>
    </w:p>
    <w:tbl>
      <w:tblPr>
        <w:tblStyle w:val="17"/>
        <w:tblW w:w="9166" w:type="dxa"/>
        <w:jc w:val="center"/>
        <w:tblLayout w:type="fixed"/>
        <w:tblCellMar>
          <w:top w:w="15" w:type="dxa"/>
          <w:left w:w="15" w:type="dxa"/>
          <w:bottom w:w="15" w:type="dxa"/>
          <w:right w:w="15" w:type="dxa"/>
        </w:tblCellMar>
      </w:tblPr>
      <w:tblGrid>
        <w:gridCol w:w="1158"/>
        <w:gridCol w:w="1710"/>
        <w:gridCol w:w="1770"/>
        <w:gridCol w:w="4528"/>
      </w:tblGrid>
      <w:tr>
        <w:tblPrEx>
          <w:tblCellMar>
            <w:top w:w="15" w:type="dxa"/>
            <w:left w:w="15" w:type="dxa"/>
            <w:bottom w:w="15" w:type="dxa"/>
            <w:right w:w="15" w:type="dxa"/>
          </w:tblCellMar>
        </w:tblPrEx>
        <w:trPr>
          <w:trHeight w:val="470" w:hRule="atLeast"/>
          <w:jc w:val="center"/>
        </w:trPr>
        <w:tc>
          <w:tcPr>
            <w:tcW w:w="115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jc w:val="center"/>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一级</w:t>
            </w:r>
            <w:r>
              <w:rPr>
                <w:rFonts w:hint="eastAsia" w:ascii="宋体" w:hAnsi="宋体" w:cs="宋体"/>
                <w:b/>
                <w:bCs/>
                <w:snapToGrid w:val="0"/>
                <w:color w:val="000000" w:themeColor="text1"/>
                <w:kern w:val="0"/>
                <w:sz w:val="24"/>
                <w:lang w:eastAsia="zh-Hans"/>
                <w14:textFill>
                  <w14:solidFill>
                    <w14:schemeClr w14:val="tx1"/>
                  </w14:solidFill>
                </w14:textFill>
              </w:rPr>
              <w:t>模块</w:t>
            </w:r>
          </w:p>
        </w:tc>
        <w:tc>
          <w:tcPr>
            <w:tcW w:w="171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jc w:val="center"/>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二级模块</w:t>
            </w:r>
          </w:p>
        </w:tc>
        <w:tc>
          <w:tcPr>
            <w:tcW w:w="177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jc w:val="center"/>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模块描述</w:t>
            </w:r>
          </w:p>
        </w:tc>
        <w:tc>
          <w:tcPr>
            <w:tcW w:w="452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jc w:val="center"/>
              <w:rPr>
                <w:rFonts w:ascii="宋体" w:hAnsi="宋体" w:cs="宋体"/>
                <w:b/>
                <w:bCs/>
                <w:snapToGrid w:val="0"/>
                <w:color w:val="000000" w:themeColor="text1"/>
                <w:kern w:val="0"/>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功能</w:t>
            </w:r>
          </w:p>
        </w:tc>
      </w:tr>
      <w:tr>
        <w:tblPrEx>
          <w:tblCellMar>
            <w:top w:w="15" w:type="dxa"/>
            <w:left w:w="15" w:type="dxa"/>
            <w:bottom w:w="15" w:type="dxa"/>
            <w:right w:w="15" w:type="dxa"/>
          </w:tblCellMar>
        </w:tblPrEx>
        <w:trPr>
          <w:trHeight w:val="210" w:hRule="atLeast"/>
          <w:jc w:val="center"/>
        </w:trPr>
        <w:tc>
          <w:tcPr>
            <w:tcW w:w="1158" w:type="dxa"/>
            <w:vMerge w:val="restart"/>
            <w:tcBorders>
              <w:top w:val="single" w:color="000000" w:sz="4" w:space="0"/>
              <w:left w:val="single" w:color="000000" w:sz="4" w:space="0"/>
              <w:right w:val="single" w:color="000000" w:sz="4" w:space="0"/>
            </w:tcBorders>
            <w:shd w:val="clear" w:color="auto" w:fill="auto"/>
          </w:tcPr>
          <w:p>
            <w:pPr>
              <w:jc w:val="left"/>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消费机APP</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宋体" w:hAnsi="宋体" w:cs="宋体"/>
                <w:snapToGrid w:val="0"/>
                <w:color w:val="000000"/>
                <w:kern w:val="0"/>
                <w:sz w:val="24"/>
              </w:rPr>
            </w:pPr>
            <w:r>
              <w:rPr>
                <w:rFonts w:hint="eastAsia" w:ascii="宋体" w:hAnsi="宋体" w:cs="宋体"/>
                <w:color w:val="000000"/>
                <w:kern w:val="0"/>
                <w:sz w:val="24"/>
                <w:lang w:eastAsia="zh-Hans"/>
              </w:rPr>
              <w:t>设置</w:t>
            </w:r>
            <w:r>
              <w:rPr>
                <w:rFonts w:hint="eastAsia" w:ascii="宋体" w:hAnsi="宋体" w:cs="宋体"/>
                <w:color w:val="000000"/>
                <w:kern w:val="0"/>
                <w:sz w:val="24"/>
              </w:rPr>
              <w:t>管理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宋体" w:hAnsi="宋体" w:cs="宋体"/>
                <w:snapToGrid w:val="0"/>
                <w:color w:val="000000"/>
                <w:kern w:val="0"/>
                <w:sz w:val="24"/>
              </w:rPr>
            </w:pPr>
            <w:r>
              <w:rPr>
                <w:rFonts w:hint="eastAsia" w:ascii="宋体" w:hAnsi="宋体" w:cs="宋体"/>
                <w:color w:val="000000"/>
                <w:kern w:val="0"/>
                <w:sz w:val="24"/>
                <w:lang w:eastAsia="zh-Hans"/>
              </w:rPr>
              <w:t>设置</w:t>
            </w:r>
            <w:r>
              <w:rPr>
                <w:rFonts w:hint="eastAsia" w:ascii="宋体" w:hAnsi="宋体" w:cs="宋体"/>
                <w:color w:val="000000"/>
                <w:kern w:val="0"/>
                <w:sz w:val="24"/>
              </w:rPr>
              <w:t>设置</w:t>
            </w:r>
          </w:p>
        </w:tc>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b/>
                <w:bCs/>
                <w:snapToGrid w:val="0"/>
                <w:color w:val="000000"/>
                <w:kern w:val="0"/>
                <w:sz w:val="24"/>
              </w:rPr>
            </w:pPr>
            <w:r>
              <w:rPr>
                <w:rFonts w:hint="eastAsia" w:ascii="宋体" w:hAnsi="宋体" w:cs="宋体"/>
                <w:color w:val="000000"/>
                <w:kern w:val="0"/>
                <w:sz w:val="24"/>
              </w:rPr>
              <w:t>各功能模块权限设置，</w:t>
            </w:r>
            <w:r>
              <w:rPr>
                <w:rFonts w:hint="eastAsia" w:ascii="宋体" w:hAnsi="宋体" w:cs="宋体"/>
                <w:color w:val="000000"/>
                <w:kern w:val="0"/>
                <w:sz w:val="24"/>
                <w:lang w:eastAsia="zh-Hans"/>
              </w:rPr>
              <w:t>人脸同步等</w:t>
            </w:r>
          </w:p>
        </w:tc>
      </w:tr>
      <w:tr>
        <w:tblPrEx>
          <w:tblCellMar>
            <w:top w:w="15" w:type="dxa"/>
            <w:left w:w="15" w:type="dxa"/>
            <w:bottom w:w="15" w:type="dxa"/>
            <w:right w:w="15" w:type="dxa"/>
          </w:tblCellMar>
        </w:tblPrEx>
        <w:trPr>
          <w:trHeight w:val="210" w:hRule="atLeast"/>
          <w:jc w:val="center"/>
        </w:trPr>
        <w:tc>
          <w:tcPr>
            <w:tcW w:w="1158" w:type="dxa"/>
            <w:vMerge w:val="continue"/>
            <w:tcBorders>
              <w:left w:val="single" w:color="000000" w:sz="4" w:space="0"/>
              <w:right w:val="single" w:color="000000" w:sz="4" w:space="0"/>
            </w:tcBorders>
            <w:shd w:val="clear" w:color="auto" w:fill="auto"/>
          </w:tcPr>
          <w:p>
            <w:pPr>
              <w:jc w:val="left"/>
              <w:rPr>
                <w:rFonts w:ascii="宋体" w:hAnsi="宋体" w:cs="宋体"/>
                <w:snapToGrid w:val="0"/>
                <w:color w:val="000000" w:themeColor="text1"/>
                <w:kern w:val="0"/>
                <w:sz w:val="24"/>
                <w14:textFill>
                  <w14:solidFill>
                    <w14:schemeClr w14:val="tx1"/>
                  </w14:solidFill>
                </w14:textFill>
              </w:rPr>
            </w:pPr>
          </w:p>
        </w:tc>
        <w:tc>
          <w:tcPr>
            <w:tcW w:w="1710" w:type="dxa"/>
            <w:vMerge w:val="restart"/>
            <w:tcBorders>
              <w:top w:val="single" w:color="000000" w:sz="4" w:space="0"/>
              <w:left w:val="single" w:color="000000" w:sz="4" w:space="0"/>
              <w:right w:val="single" w:color="000000" w:sz="4" w:space="0"/>
            </w:tcBorders>
            <w:shd w:val="clear" w:color="auto" w:fill="auto"/>
            <w:vAlign w:val="center"/>
          </w:tcPr>
          <w:p>
            <w:pPr>
              <w:widowControl/>
              <w:rPr>
                <w:rFonts w:ascii="宋体" w:hAnsi="宋体" w:cs="宋体"/>
                <w:snapToGrid w:val="0"/>
                <w:color w:val="000000"/>
                <w:kern w:val="0"/>
                <w:sz w:val="24"/>
              </w:rPr>
            </w:pPr>
            <w:r>
              <w:rPr>
                <w:rFonts w:hint="eastAsia" w:ascii="宋体" w:hAnsi="宋体" w:cs="宋体"/>
                <w:color w:val="000000"/>
                <w:kern w:val="0"/>
                <w:sz w:val="24"/>
              </w:rPr>
              <w:t>刷卡管理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snapToGrid w:val="0"/>
                <w:color w:val="000000"/>
                <w:kern w:val="0"/>
                <w:sz w:val="24"/>
              </w:rPr>
            </w:pPr>
            <w:r>
              <w:rPr>
                <w:rFonts w:hint="eastAsia" w:ascii="宋体" w:hAnsi="宋体" w:cs="宋体"/>
                <w:color w:val="000000"/>
                <w:kern w:val="0"/>
                <w:sz w:val="24"/>
              </w:rPr>
              <w:t>刷卡支付</w:t>
            </w:r>
          </w:p>
        </w:tc>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snapToGrid w:val="0"/>
                <w:color w:val="000000"/>
                <w:kern w:val="0"/>
                <w:sz w:val="24"/>
              </w:rPr>
            </w:pPr>
            <w:r>
              <w:rPr>
                <w:rFonts w:hint="eastAsia" w:ascii="宋体" w:hAnsi="宋体" w:cs="宋体"/>
                <w:color w:val="000000"/>
                <w:kern w:val="0"/>
                <w:sz w:val="24"/>
              </w:rPr>
              <w:t>支持职工刷卡扣费管理</w:t>
            </w:r>
          </w:p>
        </w:tc>
      </w:tr>
      <w:tr>
        <w:tblPrEx>
          <w:tblCellMar>
            <w:top w:w="15" w:type="dxa"/>
            <w:left w:w="15" w:type="dxa"/>
            <w:bottom w:w="15" w:type="dxa"/>
            <w:right w:w="15" w:type="dxa"/>
          </w:tblCellMar>
        </w:tblPrEx>
        <w:trPr>
          <w:trHeight w:val="210" w:hRule="atLeast"/>
          <w:jc w:val="center"/>
        </w:trPr>
        <w:tc>
          <w:tcPr>
            <w:tcW w:w="1158" w:type="dxa"/>
            <w:vMerge w:val="continue"/>
            <w:tcBorders>
              <w:left w:val="single" w:color="000000" w:sz="4" w:space="0"/>
              <w:right w:val="single" w:color="000000" w:sz="4" w:space="0"/>
            </w:tcBorders>
            <w:shd w:val="clear" w:color="auto" w:fill="auto"/>
          </w:tcPr>
          <w:p>
            <w:pPr>
              <w:jc w:val="left"/>
              <w:rPr>
                <w:rFonts w:ascii="宋体" w:hAnsi="宋体" w:cs="宋体"/>
                <w:snapToGrid w:val="0"/>
                <w:color w:val="000000" w:themeColor="text1"/>
                <w:kern w:val="0"/>
                <w:sz w:val="24"/>
                <w14:textFill>
                  <w14:solidFill>
                    <w14:schemeClr w14:val="tx1"/>
                  </w14:solidFill>
                </w14:textFill>
              </w:rPr>
            </w:pPr>
          </w:p>
        </w:tc>
        <w:tc>
          <w:tcPr>
            <w:tcW w:w="1710" w:type="dxa"/>
            <w:vMerge w:val="continue"/>
            <w:tcBorders>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14:textFill>
                  <w14:solidFill>
                    <w14:schemeClr w14:val="tx1"/>
                  </w14:solidFill>
                </w14:textFill>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snapToGrid w:val="0"/>
                <w:color w:val="000000"/>
                <w:kern w:val="0"/>
                <w:sz w:val="24"/>
              </w:rPr>
            </w:pPr>
            <w:r>
              <w:rPr>
                <w:rFonts w:hint="eastAsia" w:ascii="宋体" w:hAnsi="宋体" w:cs="宋体"/>
                <w:color w:val="000000"/>
                <w:kern w:val="0"/>
                <w:sz w:val="24"/>
              </w:rPr>
              <w:t>二维码支付</w:t>
            </w:r>
          </w:p>
        </w:tc>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snapToGrid w:val="0"/>
                <w:color w:val="000000"/>
                <w:kern w:val="0"/>
                <w:sz w:val="24"/>
              </w:rPr>
            </w:pPr>
            <w:r>
              <w:rPr>
                <w:rFonts w:hint="eastAsia" w:ascii="宋体" w:hAnsi="宋体" w:cs="宋体"/>
                <w:color w:val="000000"/>
                <w:kern w:val="0"/>
                <w:sz w:val="24"/>
              </w:rPr>
              <w:t>支持职工二维码手机支付管理</w:t>
            </w:r>
          </w:p>
        </w:tc>
      </w:tr>
      <w:tr>
        <w:tblPrEx>
          <w:tblCellMar>
            <w:top w:w="15" w:type="dxa"/>
            <w:left w:w="15" w:type="dxa"/>
            <w:bottom w:w="15" w:type="dxa"/>
            <w:right w:w="15" w:type="dxa"/>
          </w:tblCellMar>
        </w:tblPrEx>
        <w:trPr>
          <w:trHeight w:val="210" w:hRule="atLeast"/>
          <w:jc w:val="center"/>
        </w:trPr>
        <w:tc>
          <w:tcPr>
            <w:tcW w:w="1158" w:type="dxa"/>
            <w:vMerge w:val="continue"/>
            <w:tcBorders>
              <w:left w:val="single" w:color="000000" w:sz="4" w:space="0"/>
              <w:right w:val="single" w:color="000000" w:sz="4" w:space="0"/>
            </w:tcBorders>
            <w:shd w:val="clear" w:color="auto" w:fill="auto"/>
          </w:tcPr>
          <w:p>
            <w:pPr>
              <w:jc w:val="left"/>
              <w:rPr>
                <w:rFonts w:ascii="宋体" w:hAnsi="宋体" w:cs="宋体"/>
                <w:snapToGrid w:val="0"/>
                <w:color w:val="000000" w:themeColor="text1"/>
                <w:kern w:val="0"/>
                <w:sz w:val="24"/>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收款管理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lang w:eastAsia="zh-Hans"/>
              </w:rPr>
            </w:pPr>
            <w:r>
              <w:rPr>
                <w:rFonts w:hint="eastAsia" w:ascii="宋体" w:hAnsi="宋体" w:cs="宋体"/>
                <w:color w:val="000000"/>
                <w:kern w:val="0"/>
                <w:sz w:val="24"/>
                <w:lang w:eastAsia="zh-Hans"/>
              </w:rPr>
              <w:t>收款支付</w:t>
            </w:r>
          </w:p>
        </w:tc>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lang w:eastAsia="zh-Hans"/>
              </w:rPr>
            </w:pPr>
            <w:r>
              <w:rPr>
                <w:rFonts w:hint="eastAsia" w:ascii="宋体" w:hAnsi="宋体" w:cs="宋体"/>
                <w:color w:val="000000"/>
                <w:kern w:val="0"/>
                <w:sz w:val="24"/>
                <w:lang w:eastAsia="zh-Hans"/>
              </w:rPr>
              <w:t>直接输入金额，收款管理，支持三种支付方式</w:t>
            </w:r>
          </w:p>
        </w:tc>
      </w:tr>
      <w:tr>
        <w:tblPrEx>
          <w:tblCellMar>
            <w:top w:w="15" w:type="dxa"/>
            <w:left w:w="15" w:type="dxa"/>
            <w:bottom w:w="15" w:type="dxa"/>
            <w:right w:w="15" w:type="dxa"/>
          </w:tblCellMar>
        </w:tblPrEx>
        <w:trPr>
          <w:trHeight w:val="379" w:hRule="atLeast"/>
          <w:jc w:val="center"/>
        </w:trPr>
        <w:tc>
          <w:tcPr>
            <w:tcW w:w="1158" w:type="dxa"/>
            <w:vMerge w:val="continue"/>
            <w:tcBorders>
              <w:left w:val="single" w:color="000000" w:sz="4" w:space="0"/>
              <w:right w:val="single" w:color="000000" w:sz="4" w:space="0"/>
            </w:tcBorders>
            <w:shd w:val="clear" w:color="auto" w:fill="auto"/>
          </w:tcPr>
          <w:p>
            <w:pPr>
              <w:jc w:val="left"/>
              <w:rPr>
                <w:rFonts w:ascii="宋体" w:hAnsi="宋体" w:cs="宋体"/>
                <w:snapToGrid w:val="0"/>
                <w:color w:val="000000" w:themeColor="text1"/>
                <w:kern w:val="0"/>
                <w:sz w:val="24"/>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点餐管理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lang w:eastAsia="zh-Hans"/>
              </w:rPr>
            </w:pPr>
            <w:r>
              <w:rPr>
                <w:rFonts w:hint="eastAsia" w:ascii="宋体" w:hAnsi="宋体" w:cs="宋体"/>
                <w:color w:val="000000"/>
                <w:kern w:val="0"/>
                <w:sz w:val="24"/>
                <w:lang w:eastAsia="zh-Hans"/>
              </w:rPr>
              <w:t>菜谱同步</w:t>
            </w:r>
          </w:p>
        </w:tc>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lang w:eastAsia="zh-Hans"/>
              </w:rPr>
            </w:pPr>
            <w:r>
              <w:rPr>
                <w:rFonts w:hint="eastAsia" w:ascii="宋体" w:hAnsi="宋体" w:cs="宋体"/>
                <w:color w:val="000000"/>
                <w:kern w:val="0"/>
                <w:sz w:val="24"/>
                <w:lang w:eastAsia="zh-Hans"/>
              </w:rPr>
              <w:t>同步周菜谱，选择菜品，实现支付。</w:t>
            </w:r>
          </w:p>
        </w:tc>
      </w:tr>
      <w:tr>
        <w:tblPrEx>
          <w:tblCellMar>
            <w:top w:w="15" w:type="dxa"/>
            <w:left w:w="15" w:type="dxa"/>
            <w:bottom w:w="15" w:type="dxa"/>
            <w:right w:w="15" w:type="dxa"/>
          </w:tblCellMar>
        </w:tblPrEx>
        <w:trPr>
          <w:trHeight w:val="210" w:hRule="atLeast"/>
          <w:jc w:val="center"/>
        </w:trPr>
        <w:tc>
          <w:tcPr>
            <w:tcW w:w="1158" w:type="dxa"/>
            <w:vMerge w:val="continue"/>
            <w:tcBorders>
              <w:left w:val="single" w:color="000000" w:sz="4" w:space="0"/>
              <w:right w:val="single" w:color="000000" w:sz="4" w:space="0"/>
            </w:tcBorders>
            <w:shd w:val="clear" w:color="auto" w:fill="auto"/>
          </w:tcPr>
          <w:p>
            <w:pPr>
              <w:jc w:val="left"/>
              <w:rPr>
                <w:rFonts w:ascii="宋体" w:hAnsi="宋体" w:cs="宋体"/>
                <w:snapToGrid w:val="0"/>
                <w:color w:val="000000" w:themeColor="text1"/>
                <w:kern w:val="0"/>
                <w:sz w:val="24"/>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账单查询</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lang w:eastAsia="zh-Hans"/>
              </w:rPr>
            </w:pPr>
            <w:r>
              <w:rPr>
                <w:rFonts w:hint="eastAsia" w:ascii="宋体" w:hAnsi="宋体" w:cs="宋体"/>
                <w:color w:val="000000"/>
                <w:kern w:val="0"/>
                <w:sz w:val="24"/>
                <w:lang w:eastAsia="zh-Hans"/>
              </w:rPr>
              <w:t>账单查询</w:t>
            </w:r>
          </w:p>
        </w:tc>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lang w:eastAsia="zh-Hans"/>
              </w:rPr>
            </w:pPr>
            <w:r>
              <w:rPr>
                <w:rFonts w:hint="eastAsia" w:ascii="宋体" w:hAnsi="宋体" w:cs="宋体"/>
                <w:color w:val="000000"/>
                <w:kern w:val="0"/>
                <w:sz w:val="24"/>
                <w:lang w:eastAsia="zh-Hans"/>
              </w:rPr>
              <w:t>查询日期范围内机器的消费明细（日期、卡号、姓名、金额、支付方式）日、周、月订单统计、营业额统计、支付方式统计、菜品售卖数量排行等；</w:t>
            </w:r>
          </w:p>
        </w:tc>
      </w:tr>
      <w:tr>
        <w:tblPrEx>
          <w:tblCellMar>
            <w:top w:w="15" w:type="dxa"/>
            <w:left w:w="15" w:type="dxa"/>
            <w:bottom w:w="15" w:type="dxa"/>
            <w:right w:w="15" w:type="dxa"/>
          </w:tblCellMar>
        </w:tblPrEx>
        <w:trPr>
          <w:trHeight w:val="210" w:hRule="atLeast"/>
          <w:jc w:val="center"/>
        </w:trPr>
        <w:tc>
          <w:tcPr>
            <w:tcW w:w="1158" w:type="dxa"/>
            <w:vMerge w:val="continue"/>
            <w:tcBorders>
              <w:left w:val="single" w:color="000000" w:sz="4" w:space="0"/>
              <w:bottom w:val="single" w:color="000000" w:sz="4" w:space="0"/>
              <w:right w:val="single" w:color="000000" w:sz="4" w:space="0"/>
            </w:tcBorders>
            <w:shd w:val="clear" w:color="auto" w:fill="auto"/>
          </w:tcPr>
          <w:p>
            <w:pPr>
              <w:jc w:val="left"/>
              <w:rPr>
                <w:rFonts w:ascii="宋体" w:hAnsi="宋体" w:cs="宋体"/>
                <w:snapToGrid w:val="0"/>
                <w:color w:val="000000" w:themeColor="text1"/>
                <w:kern w:val="0"/>
                <w:sz w:val="24"/>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cs="宋体"/>
                <w:snapToGrid w:val="0"/>
                <w:color w:val="000000" w:themeColor="text1"/>
                <w:kern w:val="0"/>
                <w:sz w:val="24"/>
                <w:lang w:eastAsia="zh-Hans"/>
                <w14:textFill>
                  <w14:solidFill>
                    <w14:schemeClr w14:val="tx1"/>
                  </w14:solidFill>
                </w14:textFill>
              </w:rPr>
            </w:pPr>
            <w:r>
              <w:rPr>
                <w:rFonts w:hint="eastAsia" w:ascii="宋体" w:hAnsi="宋体" w:cs="宋体"/>
                <w:snapToGrid w:val="0"/>
                <w:color w:val="000000" w:themeColor="text1"/>
                <w:kern w:val="0"/>
                <w:sz w:val="24"/>
                <w:lang w:eastAsia="zh-Hans"/>
                <w14:textFill>
                  <w14:solidFill>
                    <w14:schemeClr w14:val="tx1"/>
                  </w14:solidFill>
                </w14:textFill>
              </w:rPr>
              <w:t>离线管理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lang w:eastAsia="zh-Hans"/>
              </w:rPr>
            </w:pPr>
            <w:r>
              <w:rPr>
                <w:rFonts w:hint="eastAsia" w:ascii="宋体" w:hAnsi="宋体" w:cs="宋体"/>
                <w:color w:val="000000"/>
                <w:kern w:val="0"/>
                <w:sz w:val="24"/>
                <w:lang w:eastAsia="zh-Hans"/>
              </w:rPr>
              <w:t>离线卡包</w:t>
            </w:r>
          </w:p>
        </w:tc>
        <w:tc>
          <w:tcPr>
            <w:tcW w:w="4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lang w:eastAsia="zh-Hans"/>
              </w:rPr>
            </w:pPr>
            <w:r>
              <w:rPr>
                <w:rFonts w:hint="eastAsia" w:ascii="宋体" w:hAnsi="宋体" w:cs="宋体"/>
                <w:color w:val="000000"/>
                <w:kern w:val="0"/>
                <w:sz w:val="24"/>
                <w:lang w:eastAsia="zh-Hans"/>
              </w:rPr>
              <w:t>系统支持离线卡包支付，同时手机实时联网上传数据。</w:t>
            </w:r>
          </w:p>
        </w:tc>
      </w:tr>
    </w:tbl>
    <w:p>
      <w:pPr>
        <w:rPr>
          <w:rFonts w:ascii="宋体" w:hAnsi="宋体" w:cs="宋体"/>
          <w:sz w:val="24"/>
          <w:lang w:eastAsia="zh-Hans"/>
        </w:rPr>
      </w:pPr>
    </w:p>
    <w:p>
      <w:pPr>
        <w:pStyle w:val="7"/>
        <w:numPr>
          <w:ilvl w:val="0"/>
          <w:numId w:val="9"/>
        </w:numPr>
        <w:spacing w:line="360" w:lineRule="auto"/>
        <w:outlineLvl w:val="0"/>
        <w:rPr>
          <w:rFonts w:ascii="宋体" w:hAnsi="宋体" w:cs="宋体"/>
          <w:color w:val="000000"/>
          <w:kern w:val="0"/>
          <w:sz w:val="24"/>
        </w:rPr>
      </w:pPr>
      <w:r>
        <w:rPr>
          <w:rFonts w:hint="eastAsia" w:ascii="宋体" w:hAnsi="宋体" w:cs="宋体"/>
          <w:kern w:val="0"/>
          <w:sz w:val="24"/>
          <w:lang w:eastAsia="zh-Hans" w:bidi="ar"/>
        </w:rPr>
        <w:t>消费机硬件参数如下：</w:t>
      </w:r>
    </w:p>
    <w:p>
      <w:pPr>
        <w:pStyle w:val="7"/>
        <w:numPr>
          <w:ilvl w:val="0"/>
          <w:numId w:val="10"/>
        </w:numPr>
        <w:spacing w:line="360" w:lineRule="auto"/>
        <w:outlineLvl w:val="0"/>
        <w:rPr>
          <w:rFonts w:ascii="宋体" w:hAnsi="宋体" w:cs="宋体"/>
          <w:color w:val="000000"/>
          <w:kern w:val="0"/>
          <w:sz w:val="24"/>
        </w:rPr>
      </w:pPr>
      <w:r>
        <w:rPr>
          <w:rFonts w:hint="eastAsia" w:ascii="宋体" w:hAnsi="宋体" w:cs="宋体"/>
          <w:color w:val="000000"/>
          <w:kern w:val="0"/>
          <w:sz w:val="24"/>
          <w:lang w:eastAsia="zh-Hans"/>
        </w:rPr>
        <w:t>数量：</w:t>
      </w:r>
      <w:r>
        <w:rPr>
          <w:rFonts w:ascii="宋体" w:hAnsi="宋体" w:cs="宋体"/>
          <w:color w:val="000000"/>
          <w:kern w:val="0"/>
          <w:sz w:val="24"/>
          <w:lang w:eastAsia="zh-Hans"/>
        </w:rPr>
        <w:t>3</w:t>
      </w:r>
      <w:r>
        <w:rPr>
          <w:rFonts w:hint="eastAsia" w:ascii="宋体" w:hAnsi="宋体" w:cs="宋体"/>
          <w:color w:val="000000"/>
          <w:kern w:val="0"/>
          <w:sz w:val="24"/>
          <w:lang w:eastAsia="zh-Hans"/>
        </w:rPr>
        <w:t>台</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操作系统：Android 7.1安全操作系统</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处理器： 高通骁龙8核处理器</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lang w:eastAsia="zh-Hans"/>
        </w:rPr>
      </w:pPr>
      <w:r>
        <w:rPr>
          <w:rFonts w:hint="eastAsia" w:ascii="宋体" w:hAnsi="宋体" w:cs="宋体"/>
          <w:color w:val="000000"/>
          <w:kern w:val="0"/>
          <w:sz w:val="24"/>
          <w:lang w:eastAsia="zh-Hans"/>
        </w:rPr>
        <w:t>存储器：16GB ROM+ 2GB RAM</w:t>
      </w:r>
      <w:r>
        <w:rPr>
          <w:rFonts w:hint="eastAsia" w:ascii="宋体" w:hAnsi="宋体" w:cs="宋体"/>
          <w:color w:val="000000"/>
          <w:kern w:val="0"/>
          <w:sz w:val="24"/>
        </w:rPr>
        <w:t>；</w:t>
      </w:r>
      <w:r>
        <w:rPr>
          <w:rFonts w:hint="eastAsia" w:ascii="宋体" w:hAnsi="宋体" w:cs="宋体"/>
          <w:color w:val="000000"/>
          <w:kern w:val="0"/>
          <w:sz w:val="24"/>
          <w:lang w:eastAsia="zh-Hans"/>
        </w:rPr>
        <w:t xml:space="preserve"> </w:t>
      </w:r>
    </w:p>
    <w:p>
      <w:pPr>
        <w:pStyle w:val="2"/>
        <w:numPr>
          <w:ilvl w:val="0"/>
          <w:numId w:val="10"/>
        </w:numPr>
        <w:spacing w:line="360" w:lineRule="auto"/>
        <w:ind w:leftChars="0"/>
        <w:rPr>
          <w:rFonts w:ascii="宋体" w:hAnsi="宋体" w:cs="宋体"/>
          <w:color w:val="000000"/>
          <w:kern w:val="0"/>
          <w:sz w:val="24"/>
          <w:lang w:eastAsia="zh-Hans"/>
        </w:rPr>
      </w:pPr>
      <w:r>
        <w:rPr>
          <w:rFonts w:hint="eastAsia" w:ascii="宋体" w:hAnsi="宋体" w:cs="宋体"/>
          <w:color w:val="000000"/>
          <w:kern w:val="0"/>
          <w:sz w:val="24"/>
          <w:lang w:eastAsia="zh-Hans"/>
        </w:rPr>
        <w:t>主显示屏：15.6"FHD,1920*1080</w:t>
      </w:r>
      <w:r>
        <w:rPr>
          <w:rFonts w:hint="eastAsia" w:ascii="宋体" w:hAnsi="宋体" w:cs="宋体"/>
          <w:color w:val="000000"/>
          <w:kern w:val="0"/>
          <w:sz w:val="24"/>
        </w:rPr>
        <w:t>；</w:t>
      </w:r>
      <w:r>
        <w:rPr>
          <w:rFonts w:hint="eastAsia" w:ascii="宋体" w:hAnsi="宋体" w:cs="宋体"/>
          <w:color w:val="000000"/>
          <w:kern w:val="0"/>
          <w:sz w:val="24"/>
          <w:lang w:eastAsia="zh-Hans"/>
        </w:rPr>
        <w:t xml:space="preserve"> </w:t>
      </w:r>
    </w:p>
    <w:p>
      <w:pPr>
        <w:pStyle w:val="2"/>
        <w:numPr>
          <w:ilvl w:val="0"/>
          <w:numId w:val="10"/>
        </w:numPr>
        <w:spacing w:line="360" w:lineRule="auto"/>
        <w:ind w:leftChars="0"/>
        <w:rPr>
          <w:rFonts w:ascii="宋体" w:hAnsi="宋体" w:cs="宋体"/>
          <w:color w:val="000000"/>
          <w:kern w:val="0"/>
          <w:sz w:val="24"/>
          <w:lang w:eastAsia="zh-Hans"/>
        </w:rPr>
      </w:pPr>
      <w:r>
        <w:rPr>
          <w:rFonts w:hint="eastAsia" w:ascii="宋体" w:hAnsi="宋体" w:cs="宋体"/>
          <w:color w:val="000000"/>
          <w:kern w:val="0"/>
          <w:sz w:val="24"/>
          <w:lang w:eastAsia="zh-Hans"/>
        </w:rPr>
        <w:t>主屏触摸屏：G+G 电容多点触摸屏</w:t>
      </w:r>
      <w:r>
        <w:rPr>
          <w:rFonts w:hint="eastAsia" w:ascii="宋体" w:hAnsi="宋体" w:cs="宋体"/>
          <w:color w:val="000000"/>
          <w:kern w:val="0"/>
          <w:sz w:val="24"/>
        </w:rPr>
        <w:t>；</w:t>
      </w:r>
      <w:r>
        <w:rPr>
          <w:rFonts w:hint="eastAsia" w:ascii="宋体" w:hAnsi="宋体" w:cs="宋体"/>
          <w:color w:val="000000"/>
          <w:kern w:val="0"/>
          <w:sz w:val="24"/>
          <w:lang w:eastAsia="zh-Hans"/>
        </w:rPr>
        <w:t xml:space="preserve"> </w:t>
      </w:r>
    </w:p>
    <w:p>
      <w:pPr>
        <w:pStyle w:val="2"/>
        <w:numPr>
          <w:ilvl w:val="0"/>
          <w:numId w:val="10"/>
        </w:numPr>
        <w:spacing w:line="360" w:lineRule="auto"/>
        <w:ind w:leftChars="0"/>
        <w:rPr>
          <w:rFonts w:ascii="宋体" w:hAnsi="宋体" w:cs="宋体"/>
          <w:color w:val="000000"/>
          <w:kern w:val="0"/>
          <w:sz w:val="24"/>
          <w:lang w:eastAsia="zh-Hans"/>
        </w:rPr>
      </w:pPr>
      <w:r>
        <w:rPr>
          <w:rFonts w:hint="eastAsia" w:ascii="宋体" w:hAnsi="宋体" w:cs="宋体"/>
          <w:color w:val="000000"/>
          <w:kern w:val="0"/>
          <w:sz w:val="24"/>
          <w:lang w:eastAsia="zh-Hans"/>
        </w:rPr>
        <w:t>客显：15.6" FHD,1920*1080</w:t>
      </w:r>
      <w:r>
        <w:rPr>
          <w:rFonts w:hint="eastAsia" w:ascii="宋体" w:hAnsi="宋体" w:cs="宋体"/>
          <w:color w:val="000000"/>
          <w:kern w:val="0"/>
          <w:sz w:val="24"/>
        </w:rPr>
        <w:t>；</w:t>
      </w:r>
      <w:r>
        <w:rPr>
          <w:rFonts w:hint="eastAsia" w:ascii="宋体" w:hAnsi="宋体" w:cs="宋体"/>
          <w:color w:val="000000"/>
          <w:kern w:val="0"/>
          <w:sz w:val="24"/>
          <w:lang w:eastAsia="zh-Hans"/>
        </w:rPr>
        <w:t xml:space="preserve"> </w:t>
      </w:r>
    </w:p>
    <w:p>
      <w:pPr>
        <w:pStyle w:val="2"/>
        <w:numPr>
          <w:ilvl w:val="0"/>
          <w:numId w:val="10"/>
        </w:numPr>
        <w:spacing w:line="360" w:lineRule="auto"/>
        <w:ind w:leftChars="0"/>
        <w:rPr>
          <w:rFonts w:ascii="宋体" w:hAnsi="宋体" w:cs="宋体"/>
          <w:color w:val="000000"/>
          <w:kern w:val="0"/>
          <w:sz w:val="24"/>
          <w:lang w:eastAsia="zh-Hans"/>
        </w:rPr>
      </w:pPr>
      <w:r>
        <w:rPr>
          <w:rFonts w:hint="eastAsia" w:ascii="宋体" w:hAnsi="宋体" w:cs="宋体"/>
          <w:color w:val="000000"/>
          <w:kern w:val="0"/>
          <w:sz w:val="24"/>
          <w:lang w:eastAsia="zh-Hans"/>
        </w:rPr>
        <w:t>打印机：内置高速80热敏打印机,带自动切刀,打印速度200mm/s, 支持外径80mm纸卷</w:t>
      </w:r>
      <w:r>
        <w:rPr>
          <w:rFonts w:hint="eastAsia" w:ascii="宋体" w:hAnsi="宋体" w:cs="宋体"/>
          <w:color w:val="000000"/>
          <w:kern w:val="0"/>
          <w:sz w:val="24"/>
        </w:rPr>
        <w:t>；</w:t>
      </w:r>
      <w:r>
        <w:rPr>
          <w:rFonts w:hint="eastAsia" w:ascii="宋体" w:hAnsi="宋体" w:cs="宋体"/>
          <w:color w:val="000000"/>
          <w:kern w:val="0"/>
          <w:sz w:val="24"/>
          <w:lang w:eastAsia="zh-Hans"/>
        </w:rPr>
        <w:t xml:space="preserve"> </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WiFi：2.4G/5G, 支持IEEE 802.11 a/b/g/n</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蓝牙：支持蓝牙2.1/3.0/4.0.支持BLE</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按键：电源键(锁屏键) +音量加/减键</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喇叭：1.2W</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外部储存卡：支持MicroSD(TF),最大到64G</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外部接☐：5*USB TypeA☐,1*RJ11串☐, 1*RJ12钱箱☐, 1*RJ45 LAN☐, 1*耳机☐,1* 电源☐,1* Micro-USB调试C</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电源适配器：输入: AC100-240V/1.7A 输出: DC24V/2.5A</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SIM卡座：1 个支持1.8V/3.0V (可选)</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通信方式：4G模块(可选)</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工作环境：工作温度: 0℃--40℃ 储藏温度: -20℃--60℃</w:t>
      </w:r>
      <w:r>
        <w:rPr>
          <w:rFonts w:hint="eastAsia" w:ascii="宋体" w:hAnsi="宋体" w:cs="宋体"/>
          <w:color w:val="000000"/>
          <w:kern w:val="0"/>
          <w:sz w:val="24"/>
        </w:rPr>
        <w:t>；</w:t>
      </w:r>
    </w:p>
    <w:p>
      <w:pPr>
        <w:pStyle w:val="2"/>
        <w:numPr>
          <w:ilvl w:val="0"/>
          <w:numId w:val="10"/>
        </w:numPr>
        <w:spacing w:line="360" w:lineRule="auto"/>
        <w:ind w:leftChars="0"/>
        <w:rPr>
          <w:rFonts w:ascii="宋体" w:hAnsi="宋体" w:cs="宋体"/>
          <w:color w:val="000000"/>
          <w:kern w:val="0"/>
          <w:sz w:val="24"/>
        </w:rPr>
      </w:pPr>
      <w:r>
        <w:rPr>
          <w:rFonts w:hint="eastAsia" w:ascii="宋体" w:hAnsi="宋体" w:cs="宋体"/>
          <w:color w:val="000000"/>
          <w:kern w:val="0"/>
          <w:sz w:val="24"/>
          <w:lang w:eastAsia="zh-Hans"/>
        </w:rPr>
        <w:t>可选配件：58打印挡板</w:t>
      </w:r>
      <w:r>
        <w:rPr>
          <w:rFonts w:hint="eastAsia" w:ascii="宋体" w:hAnsi="宋体" w:cs="宋体"/>
          <w:color w:val="000000"/>
          <w:kern w:val="0"/>
          <w:sz w:val="24"/>
        </w:rPr>
        <w:t>。</w:t>
      </w:r>
    </w:p>
    <w:p>
      <w:pPr>
        <w:pStyle w:val="7"/>
        <w:spacing w:before="156" w:beforeLines="50" w:after="156" w:afterLines="50"/>
        <w:outlineLvl w:val="0"/>
        <w:rPr>
          <w:rFonts w:ascii="宋体" w:hAnsi="宋体" w:cs="宋体"/>
          <w:color w:val="000000"/>
          <w:kern w:val="0"/>
          <w:sz w:val="24"/>
          <w:lang w:eastAsia="zh-Hans"/>
        </w:rPr>
      </w:pPr>
      <w:r>
        <w:rPr>
          <w:rStyle w:val="31"/>
          <w:rFonts w:hint="eastAsia" w:ascii="宋体" w:hAnsi="宋体" w:cs="宋体"/>
          <w:b/>
          <w:color w:val="auto"/>
        </w:rPr>
        <w:t>六、</w:t>
      </w:r>
      <w:r>
        <w:rPr>
          <w:rStyle w:val="31"/>
          <w:rFonts w:hint="eastAsia" w:ascii="宋体" w:hAnsi="宋体" w:cs="宋体"/>
          <w:b/>
          <w:color w:val="auto"/>
          <w:lang w:eastAsia="zh-Hans"/>
        </w:rPr>
        <w:t>实施、验收和售后服务要求</w:t>
      </w:r>
    </w:p>
    <w:p>
      <w:pPr>
        <w:pStyle w:val="26"/>
        <w:numPr>
          <w:ilvl w:val="0"/>
          <w:numId w:val="11"/>
        </w:numPr>
        <w:spacing w:line="360" w:lineRule="auto"/>
        <w:ind w:firstLineChars="0"/>
        <w:rPr>
          <w:rFonts w:ascii="宋体" w:hAnsi="宋体"/>
          <w:sz w:val="24"/>
          <w:szCs w:val="24"/>
        </w:rPr>
      </w:pPr>
      <w:r>
        <w:rPr>
          <w:rFonts w:hint="eastAsia" w:ascii="宋体" w:hAnsi="宋体"/>
          <w:sz w:val="24"/>
          <w:szCs w:val="24"/>
        </w:rPr>
        <w:t>总体要求</w:t>
      </w:r>
    </w:p>
    <w:p>
      <w:pPr>
        <w:pStyle w:val="26"/>
        <w:numPr>
          <w:ilvl w:val="1"/>
          <w:numId w:val="11"/>
        </w:numPr>
        <w:spacing w:line="360" w:lineRule="auto"/>
        <w:ind w:firstLineChars="0"/>
        <w:rPr>
          <w:rFonts w:ascii="宋体" w:hAnsi="宋体"/>
          <w:sz w:val="24"/>
          <w:szCs w:val="24"/>
        </w:rPr>
      </w:pPr>
      <w:r>
        <w:rPr>
          <w:rFonts w:hint="eastAsia" w:ascii="宋体" w:hAnsi="宋体"/>
          <w:sz w:val="24"/>
          <w:szCs w:val="24"/>
        </w:rPr>
        <w:t>投标人有固定的售后服务团队和软件开发中心。</w:t>
      </w:r>
    </w:p>
    <w:p>
      <w:pPr>
        <w:pStyle w:val="26"/>
        <w:numPr>
          <w:ilvl w:val="1"/>
          <w:numId w:val="11"/>
        </w:numPr>
        <w:spacing w:line="360" w:lineRule="auto"/>
        <w:ind w:firstLineChars="0"/>
        <w:rPr>
          <w:rFonts w:ascii="宋体" w:hAnsi="宋体"/>
          <w:sz w:val="24"/>
          <w:szCs w:val="24"/>
        </w:rPr>
      </w:pPr>
      <w:r>
        <w:rPr>
          <w:rFonts w:hint="eastAsia" w:ascii="宋体" w:hAnsi="宋体"/>
          <w:sz w:val="24"/>
          <w:szCs w:val="24"/>
        </w:rPr>
        <w:t>投标人应本着认真负责态度，组织技术队伍，认真做好项目的实施工作。在签订合同前，提出具体实施、服务、维护以及今后技术支持的措施计划和承诺。</w:t>
      </w:r>
    </w:p>
    <w:p>
      <w:pPr>
        <w:pStyle w:val="26"/>
        <w:numPr>
          <w:ilvl w:val="1"/>
          <w:numId w:val="11"/>
        </w:numPr>
        <w:spacing w:line="360" w:lineRule="auto"/>
        <w:ind w:firstLineChars="0"/>
        <w:rPr>
          <w:rFonts w:ascii="宋体" w:hAnsi="宋体"/>
          <w:sz w:val="24"/>
          <w:szCs w:val="24"/>
        </w:rPr>
      </w:pPr>
      <w:r>
        <w:rPr>
          <w:rFonts w:hint="eastAsia" w:ascii="宋体" w:hAnsi="宋体"/>
          <w:sz w:val="24"/>
          <w:szCs w:val="24"/>
        </w:rPr>
        <w:t>投标人必须提供项目实施计划，经用户方同意后，严格执行。如果遇到问题，由项目组提出项目变更说明，经医院和系统提供商确定后，修改计划。</w:t>
      </w:r>
    </w:p>
    <w:p>
      <w:pPr>
        <w:pStyle w:val="26"/>
        <w:numPr>
          <w:ilvl w:val="1"/>
          <w:numId w:val="11"/>
        </w:numPr>
        <w:spacing w:line="360" w:lineRule="auto"/>
        <w:ind w:firstLineChars="0"/>
        <w:rPr>
          <w:rFonts w:ascii="宋体" w:hAnsi="宋体"/>
          <w:sz w:val="24"/>
          <w:szCs w:val="24"/>
        </w:rPr>
      </w:pPr>
      <w:r>
        <w:rPr>
          <w:rFonts w:hint="eastAsia" w:ascii="宋体" w:hAnsi="宋体"/>
          <w:sz w:val="24"/>
          <w:szCs w:val="24"/>
        </w:rPr>
        <w:t>投标人应负责在项目验收时将系统的全部有关技术文件、资料、及安装、测试、验收报告等文档汇集成册交付用户方。</w:t>
      </w:r>
    </w:p>
    <w:p>
      <w:pPr>
        <w:pStyle w:val="26"/>
        <w:numPr>
          <w:ilvl w:val="1"/>
          <w:numId w:val="11"/>
        </w:numPr>
        <w:spacing w:line="360" w:lineRule="auto"/>
        <w:ind w:firstLineChars="0"/>
        <w:rPr>
          <w:rFonts w:ascii="宋体" w:hAnsi="宋体"/>
          <w:sz w:val="24"/>
          <w:szCs w:val="24"/>
        </w:rPr>
      </w:pPr>
      <w:r>
        <w:rPr>
          <w:rFonts w:hint="eastAsia" w:ascii="宋体" w:hAnsi="宋体"/>
          <w:sz w:val="24"/>
          <w:szCs w:val="24"/>
        </w:rPr>
        <w:t>结合医院实际情况，拟定详细的系统实施计划，包括同医院现有信息系统的对接、个性化定制、测试、试运行、培训及上线计划。承诺保证在合同规定时间内上线及上线后系统平稳运行。</w:t>
      </w:r>
    </w:p>
    <w:p>
      <w:pPr>
        <w:pStyle w:val="26"/>
        <w:numPr>
          <w:ilvl w:val="0"/>
          <w:numId w:val="11"/>
        </w:numPr>
        <w:spacing w:line="360" w:lineRule="auto"/>
        <w:ind w:firstLineChars="0"/>
        <w:rPr>
          <w:rFonts w:ascii="宋体" w:hAnsi="宋体"/>
          <w:sz w:val="24"/>
          <w:szCs w:val="24"/>
        </w:rPr>
      </w:pPr>
      <w:r>
        <w:rPr>
          <w:rFonts w:hint="eastAsia" w:ascii="宋体" w:hAnsi="宋体"/>
          <w:sz w:val="24"/>
          <w:szCs w:val="24"/>
        </w:rPr>
        <w:t>人员培训:投标人应负责使用人员的培训及考核。并在项目实施后继续按照医院要求继续定期培训和考核。培训对象包括信息科系统管理员、日常维护人员、技术层面人员（包括系统开发、程序版本控制、数据库维护）；非信息科的医院管理人员、操作员。系统管理人员培训内容为系统中涉及的相关技术内容；管理人员培训内容为系统流程和相关管理思想；操作员为系统的操作培训。</w:t>
      </w:r>
    </w:p>
    <w:p>
      <w:pPr>
        <w:pStyle w:val="26"/>
        <w:numPr>
          <w:ilvl w:val="0"/>
          <w:numId w:val="11"/>
        </w:numPr>
        <w:spacing w:line="360" w:lineRule="auto"/>
        <w:ind w:firstLineChars="0"/>
        <w:rPr>
          <w:rFonts w:ascii="宋体" w:hAnsi="宋体"/>
          <w:sz w:val="24"/>
          <w:szCs w:val="24"/>
        </w:rPr>
      </w:pPr>
      <w:r>
        <w:rPr>
          <w:rFonts w:hint="eastAsia" w:ascii="宋体" w:hAnsi="宋体"/>
          <w:sz w:val="24"/>
          <w:szCs w:val="24"/>
        </w:rPr>
        <w:t>对实施人员的要求</w:t>
      </w:r>
    </w:p>
    <w:p>
      <w:pPr>
        <w:pStyle w:val="26"/>
        <w:numPr>
          <w:ilvl w:val="1"/>
          <w:numId w:val="11"/>
        </w:numPr>
        <w:spacing w:line="360" w:lineRule="auto"/>
        <w:ind w:firstLineChars="0"/>
        <w:rPr>
          <w:rFonts w:ascii="宋体" w:hAnsi="宋体"/>
          <w:sz w:val="24"/>
          <w:szCs w:val="24"/>
        </w:rPr>
      </w:pPr>
      <w:r>
        <w:rPr>
          <w:rFonts w:hint="eastAsia" w:ascii="宋体" w:hAnsi="宋体"/>
          <w:sz w:val="24"/>
          <w:szCs w:val="24"/>
        </w:rPr>
        <w:t>系统在通过验收前必须现场留驻足够的实施人员。</w:t>
      </w:r>
    </w:p>
    <w:p>
      <w:pPr>
        <w:pStyle w:val="26"/>
        <w:numPr>
          <w:ilvl w:val="1"/>
          <w:numId w:val="11"/>
        </w:numPr>
        <w:spacing w:line="360" w:lineRule="auto"/>
        <w:ind w:firstLineChars="0"/>
        <w:rPr>
          <w:rFonts w:ascii="宋体" w:hAnsi="宋体"/>
          <w:sz w:val="24"/>
          <w:szCs w:val="24"/>
        </w:rPr>
      </w:pPr>
      <w:r>
        <w:rPr>
          <w:rFonts w:hint="eastAsia" w:ascii="宋体" w:hAnsi="宋体"/>
          <w:sz w:val="24"/>
          <w:szCs w:val="24"/>
        </w:rPr>
        <w:t>医院有权根据实施情况要求更换项目经理和实施人员。</w:t>
      </w:r>
    </w:p>
    <w:p>
      <w:pPr>
        <w:pStyle w:val="26"/>
        <w:numPr>
          <w:ilvl w:val="1"/>
          <w:numId w:val="11"/>
        </w:numPr>
        <w:spacing w:line="360" w:lineRule="auto"/>
        <w:ind w:firstLineChars="0"/>
        <w:rPr>
          <w:rFonts w:ascii="宋体" w:hAnsi="宋体"/>
          <w:sz w:val="24"/>
          <w:szCs w:val="24"/>
        </w:rPr>
      </w:pPr>
      <w:r>
        <w:rPr>
          <w:rFonts w:hint="eastAsia" w:ascii="宋体" w:hAnsi="宋体"/>
          <w:sz w:val="24"/>
          <w:szCs w:val="24"/>
        </w:rPr>
        <w:t>对投标人项目经理等级基本要求：要求投标人针对本项目成立项目小组，在投标书中提供书面名单，人员一旦得到医院确认，无特殊理由不得随意变动，其中项目经理必须具有相当资质并有三级甲等综合性医院的信息系统实施经验，且项目经理未得到医院同意的情况下不得随意更换。</w:t>
      </w:r>
    </w:p>
    <w:p>
      <w:pPr>
        <w:pStyle w:val="26"/>
        <w:numPr>
          <w:ilvl w:val="0"/>
          <w:numId w:val="11"/>
        </w:numPr>
        <w:spacing w:line="360" w:lineRule="auto"/>
        <w:ind w:firstLineChars="0"/>
        <w:rPr>
          <w:rFonts w:ascii="宋体" w:hAnsi="宋体"/>
          <w:sz w:val="24"/>
          <w:szCs w:val="24"/>
        </w:rPr>
      </w:pPr>
      <w:r>
        <w:rPr>
          <w:rFonts w:hint="eastAsia" w:ascii="宋体" w:hAnsi="宋体"/>
          <w:sz w:val="24"/>
          <w:szCs w:val="24"/>
        </w:rPr>
        <w:t>技术文档:系统验收后投标人须提供详细的软件相关技术文档（含数据结构、数据流程图、系统字典说明等）、使用说明书、维护手册等文档资料。提供系统应急方案，提供维护和二次开发所需要的源代码及技术支持工具。文档包括但不限于以下内容：项目计划方案书、用户需求分析、数据库字典、项目概要设计书、安装测试手册、使用手册、验收报告等。</w:t>
      </w:r>
    </w:p>
    <w:p>
      <w:pPr>
        <w:pStyle w:val="26"/>
        <w:numPr>
          <w:ilvl w:val="0"/>
          <w:numId w:val="11"/>
        </w:numPr>
        <w:spacing w:line="360" w:lineRule="auto"/>
        <w:ind w:firstLineChars="0"/>
        <w:rPr>
          <w:rFonts w:ascii="宋体" w:hAnsi="宋体"/>
          <w:sz w:val="24"/>
          <w:szCs w:val="24"/>
        </w:rPr>
      </w:pPr>
      <w:r>
        <w:rPr>
          <w:rFonts w:hint="eastAsia" w:ascii="宋体" w:hAnsi="宋体"/>
          <w:sz w:val="24"/>
          <w:szCs w:val="24"/>
        </w:rPr>
        <w:t>系统维护、</w:t>
      </w:r>
      <w:r>
        <w:rPr>
          <w:rFonts w:ascii="宋体" w:hAnsi="宋体"/>
          <w:sz w:val="24"/>
          <w:szCs w:val="24"/>
        </w:rPr>
        <w:t>售后服务</w:t>
      </w:r>
    </w:p>
    <w:p>
      <w:pPr>
        <w:pStyle w:val="26"/>
        <w:numPr>
          <w:ilvl w:val="1"/>
          <w:numId w:val="11"/>
        </w:numPr>
        <w:spacing w:line="360" w:lineRule="auto"/>
        <w:ind w:firstLineChars="0"/>
        <w:rPr>
          <w:rFonts w:ascii="宋体" w:hAnsi="宋体"/>
          <w:sz w:val="24"/>
          <w:szCs w:val="24"/>
        </w:rPr>
      </w:pPr>
      <w:r>
        <w:rPr>
          <w:rFonts w:hint="eastAsia" w:ascii="宋体" w:hAnsi="宋体" w:cs="宋体"/>
          <w:sz w:val="24"/>
        </w:rPr>
        <w:t>▲</w:t>
      </w:r>
      <w:r>
        <w:rPr>
          <w:rFonts w:hint="eastAsia" w:ascii="宋体" w:hAnsi="宋体"/>
          <w:sz w:val="24"/>
          <w:szCs w:val="24"/>
        </w:rPr>
        <w:t>免费维护期：本项目验收合格后，投标人必须提供至少一年的免费功能增强性维护和软件升级、免费技术维护服务，其中包括系统维护、跟踪检测，保证投标人所投软件的正常运行。</w:t>
      </w:r>
    </w:p>
    <w:p>
      <w:pPr>
        <w:pStyle w:val="26"/>
        <w:numPr>
          <w:ilvl w:val="1"/>
          <w:numId w:val="11"/>
        </w:numPr>
        <w:spacing w:line="360" w:lineRule="auto"/>
        <w:ind w:firstLineChars="0"/>
        <w:rPr>
          <w:rFonts w:ascii="宋体" w:hAnsi="宋体"/>
          <w:sz w:val="24"/>
          <w:szCs w:val="24"/>
        </w:rPr>
      </w:pPr>
      <w:r>
        <w:rPr>
          <w:rFonts w:hint="eastAsia" w:ascii="宋体" w:hAnsi="宋体"/>
          <w:sz w:val="24"/>
          <w:szCs w:val="24"/>
        </w:rPr>
        <w:t>售后服务的形式：</w:t>
      </w:r>
    </w:p>
    <w:p>
      <w:pPr>
        <w:pStyle w:val="26"/>
        <w:numPr>
          <w:ilvl w:val="2"/>
          <w:numId w:val="11"/>
        </w:numPr>
        <w:spacing w:line="360" w:lineRule="auto"/>
        <w:ind w:firstLineChars="0"/>
        <w:rPr>
          <w:rFonts w:ascii="宋体" w:hAnsi="宋体"/>
          <w:sz w:val="24"/>
          <w:szCs w:val="24"/>
        </w:rPr>
      </w:pPr>
      <w:r>
        <w:rPr>
          <w:rFonts w:hint="eastAsia" w:ascii="宋体" w:hAnsi="宋体"/>
          <w:sz w:val="24"/>
          <w:szCs w:val="24"/>
        </w:rPr>
        <w:t>现场支持：项目验收后1年内，投标人在现场至少派驻工程师1名，维持医院系统的正常运行，并接受医院信息科统一管理，经过医院确认后，无特殊原因不得随意更换，要保证人员的稳定性，更换人员需得到医院确认。若不符合医院要求，医院有权利要求更换现场维护人员。</w:t>
      </w:r>
    </w:p>
    <w:p>
      <w:pPr>
        <w:pStyle w:val="26"/>
        <w:numPr>
          <w:ilvl w:val="2"/>
          <w:numId w:val="11"/>
        </w:numPr>
        <w:spacing w:line="360" w:lineRule="auto"/>
        <w:ind w:firstLineChars="0"/>
        <w:rPr>
          <w:rFonts w:ascii="宋体" w:hAnsi="宋体"/>
          <w:sz w:val="24"/>
          <w:szCs w:val="24"/>
        </w:rPr>
      </w:pPr>
      <w:r>
        <w:rPr>
          <w:rFonts w:hint="eastAsia" w:ascii="宋体" w:hAnsi="宋体"/>
          <w:sz w:val="24"/>
          <w:szCs w:val="24"/>
        </w:rPr>
        <w:t>远程服务：医院允许投标人在现场人员不能排除故障时，授权通过电话线或VPN方式远程登录到院方网络系统进行免费的故障诊断和故障排除。</w:t>
      </w:r>
    </w:p>
    <w:p>
      <w:pPr>
        <w:pStyle w:val="26"/>
        <w:numPr>
          <w:ilvl w:val="2"/>
          <w:numId w:val="11"/>
        </w:numPr>
        <w:spacing w:line="360" w:lineRule="auto"/>
        <w:ind w:firstLineChars="0"/>
        <w:rPr>
          <w:rFonts w:ascii="宋体" w:hAnsi="宋体"/>
          <w:sz w:val="24"/>
          <w:szCs w:val="24"/>
        </w:rPr>
      </w:pPr>
      <w:r>
        <w:rPr>
          <w:rFonts w:hint="eastAsia" w:ascii="宋体" w:hAnsi="宋体"/>
          <w:sz w:val="24"/>
          <w:szCs w:val="24"/>
        </w:rPr>
        <w:t>政策性维护：今后因国家政策或政府、医院上级部门要求导致的被动性程序修改，投标人应及时提供程序修改服务，并确保系统的在政策要求的时限内正确运行，该费用包含在投标总价内，医院不再另行支付相关费用。</w:t>
      </w:r>
    </w:p>
    <w:p>
      <w:pPr>
        <w:pStyle w:val="26"/>
        <w:numPr>
          <w:ilvl w:val="2"/>
          <w:numId w:val="11"/>
        </w:numPr>
        <w:spacing w:line="360" w:lineRule="auto"/>
        <w:ind w:firstLineChars="0"/>
        <w:rPr>
          <w:rFonts w:ascii="宋体" w:hAnsi="宋体"/>
          <w:sz w:val="24"/>
          <w:szCs w:val="24"/>
        </w:rPr>
      </w:pPr>
      <w:r>
        <w:rPr>
          <w:rFonts w:hint="eastAsia" w:ascii="宋体" w:hAnsi="宋体"/>
          <w:sz w:val="24"/>
          <w:szCs w:val="24"/>
        </w:rPr>
        <w:t>其他售后服务承诺：在系统实施及保修期内，院方提出对软件更改的要求，投标人应予以满足。</w:t>
      </w:r>
    </w:p>
    <w:p>
      <w:pPr>
        <w:pStyle w:val="26"/>
        <w:numPr>
          <w:ilvl w:val="2"/>
          <w:numId w:val="11"/>
        </w:numPr>
        <w:spacing w:line="360" w:lineRule="auto"/>
        <w:ind w:firstLineChars="0"/>
        <w:rPr>
          <w:rFonts w:ascii="宋体" w:hAnsi="宋体"/>
          <w:sz w:val="24"/>
          <w:szCs w:val="24"/>
        </w:rPr>
      </w:pPr>
      <w:r>
        <w:rPr>
          <w:rFonts w:hint="eastAsia" w:ascii="宋体" w:hAnsi="宋体"/>
          <w:sz w:val="24"/>
          <w:szCs w:val="24"/>
        </w:rPr>
        <w:t>投标人须承诺除完成本项目所规定的应用信息系统建设内容外，还须配合医院对其他信息化建设中的问题进行技术配合，对于接口开发以及医院建设中涉及的信息系统技术问题，投标人须做无推诿承诺。</w:t>
      </w:r>
    </w:p>
    <w:p>
      <w:pPr>
        <w:pStyle w:val="26"/>
        <w:numPr>
          <w:ilvl w:val="0"/>
          <w:numId w:val="11"/>
        </w:numPr>
        <w:spacing w:line="360" w:lineRule="auto"/>
        <w:ind w:firstLineChars="0"/>
        <w:rPr>
          <w:rFonts w:ascii="宋体" w:hAnsi="宋体"/>
          <w:sz w:val="24"/>
          <w:szCs w:val="24"/>
        </w:rPr>
      </w:pPr>
      <w:r>
        <w:rPr>
          <w:rFonts w:hint="eastAsia" w:ascii="宋体" w:hAnsi="宋体"/>
          <w:sz w:val="24"/>
          <w:szCs w:val="24"/>
        </w:rPr>
        <w:t>项目验收</w:t>
      </w:r>
    </w:p>
    <w:p>
      <w:pPr>
        <w:pStyle w:val="26"/>
        <w:numPr>
          <w:ilvl w:val="1"/>
          <w:numId w:val="11"/>
        </w:numPr>
        <w:spacing w:line="360" w:lineRule="auto"/>
        <w:ind w:firstLineChars="0"/>
        <w:rPr>
          <w:rFonts w:ascii="宋体" w:hAnsi="宋体"/>
          <w:sz w:val="24"/>
          <w:szCs w:val="24"/>
        </w:rPr>
      </w:pPr>
      <w:r>
        <w:rPr>
          <w:rFonts w:hint="eastAsia" w:ascii="宋体" w:hAnsi="宋体"/>
          <w:sz w:val="24"/>
          <w:szCs w:val="24"/>
        </w:rPr>
        <w:t>系统验收合格的条件至少满足以下三个要求：试运行时性能满足合同要求；性能测试和试运行验收时出现的问题已被解决；已提供了合同的全部货物和资料。</w:t>
      </w:r>
    </w:p>
    <w:p>
      <w:pPr>
        <w:pStyle w:val="26"/>
        <w:numPr>
          <w:ilvl w:val="0"/>
          <w:numId w:val="11"/>
        </w:numPr>
        <w:spacing w:line="360" w:lineRule="auto"/>
        <w:ind w:firstLineChars="0"/>
        <w:rPr>
          <w:rFonts w:ascii="宋体" w:hAnsi="宋体"/>
          <w:sz w:val="24"/>
          <w:szCs w:val="24"/>
        </w:rPr>
      </w:pPr>
      <w:r>
        <w:rPr>
          <w:rFonts w:hint="eastAsia" w:ascii="宋体" w:hAnsi="宋体"/>
          <w:sz w:val="24"/>
          <w:szCs w:val="24"/>
        </w:rPr>
        <w:t>软件验收前需通过功能、性能等方面的测评。</w:t>
      </w:r>
    </w:p>
    <w:p>
      <w:pPr>
        <w:pStyle w:val="26"/>
        <w:numPr>
          <w:ilvl w:val="0"/>
          <w:numId w:val="11"/>
        </w:numPr>
        <w:spacing w:line="360" w:lineRule="auto"/>
        <w:ind w:firstLineChars="0"/>
        <w:rPr>
          <w:rFonts w:ascii="宋体" w:hAnsi="宋体"/>
          <w:sz w:val="24"/>
          <w:szCs w:val="24"/>
        </w:rPr>
      </w:pPr>
      <w:r>
        <w:rPr>
          <w:rFonts w:hint="eastAsia" w:ascii="宋体" w:hAnsi="宋体"/>
          <w:sz w:val="24"/>
          <w:szCs w:val="24"/>
        </w:rPr>
        <w:t>所有子系统正式投入运行后进行软件系统验收。招标人将组织相关行业专家等一起验收，验收评测的相关费用包含在投标总价内。</w:t>
      </w:r>
    </w:p>
    <w:p>
      <w:pPr>
        <w:pStyle w:val="13"/>
        <w:widowControl/>
        <w:shd w:val="clear" w:color="auto" w:fill="FFFFFF"/>
        <w:adjustRightInd w:val="0"/>
        <w:snapToGrid w:val="0"/>
        <w:spacing w:beforeAutospacing="0" w:afterAutospacing="0" w:line="360" w:lineRule="auto"/>
        <w:jc w:val="both"/>
        <w:rPr>
          <w:rFonts w:ascii="宋体" w:hAnsi="宋体" w:cs="宋体"/>
          <w:shd w:val="clear" w:color="auto" w:fill="FFFFFF"/>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华文仿宋" w:hAnsi="华文仿宋" w:cs="华文仿宋"/>
        </w:rPr>
      </w:pPr>
      <w:r>
        <w:rPr>
          <w:rFonts w:hint="eastAsia" w:ascii="华文仿宋" w:hAnsi="华文仿宋" w:cs="华文仿宋"/>
        </w:rPr>
        <w:t>第三章 附件</w:t>
      </w: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pStyle w:val="24"/>
        <w:rPr>
          <w:rFonts w:ascii="宋体" w:hAnsi="宋体" w:eastAsia="宋体" w:cs="宋体"/>
        </w:rPr>
      </w:pPr>
    </w:p>
    <w:p>
      <w:pPr>
        <w:jc w:val="left"/>
        <w:rPr>
          <w:rFonts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p>
    <w:p>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pPr>
        <w:spacing w:line="360" w:lineRule="auto"/>
        <w:ind w:firstLine="360" w:firstLineChars="150"/>
        <w:rPr>
          <w:rFonts w:ascii="宋体"/>
          <w:sz w:val="24"/>
        </w:rPr>
      </w:pPr>
      <w:r>
        <w:rPr>
          <w:rFonts w:hint="eastAsia" w:ascii="宋体"/>
          <w:sz w:val="24"/>
        </w:rPr>
        <w:t>报价明细：</w:t>
      </w:r>
    </w:p>
    <w:p>
      <w:pPr>
        <w:spacing w:line="360" w:lineRule="auto"/>
        <w:ind w:firstLine="240" w:firstLineChars="100"/>
        <w:rPr>
          <w:rFonts w:ascii="宋体"/>
          <w:sz w:val="24"/>
        </w:rPr>
      </w:pPr>
    </w:p>
    <w:tbl>
      <w:tblPr>
        <w:tblStyle w:val="17"/>
        <w:tblpPr w:leftFromText="180" w:rightFromText="180" w:vertAnchor="text" w:horzAnchor="page" w:tblpX="1185" w:tblpY="328"/>
        <w:tblOverlap w:val="never"/>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839"/>
        <w:gridCol w:w="1803"/>
        <w:gridCol w:w="1465"/>
        <w:gridCol w:w="2123"/>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76" w:type="dxa"/>
            <w:vAlign w:val="center"/>
          </w:tcPr>
          <w:p>
            <w:pPr>
              <w:spacing w:after="120"/>
              <w:jc w:val="center"/>
              <w:rPr>
                <w:rFonts w:ascii="宋体" w:hAnsi="Calibri"/>
                <w:sz w:val="24"/>
              </w:rPr>
            </w:pPr>
            <w:r>
              <w:rPr>
                <w:rFonts w:hint="eastAsia" w:ascii="宋体" w:hAnsi="Calibri"/>
                <w:sz w:val="24"/>
              </w:rPr>
              <w:t>序号</w:t>
            </w:r>
          </w:p>
        </w:tc>
        <w:tc>
          <w:tcPr>
            <w:tcW w:w="1839" w:type="dxa"/>
            <w:vAlign w:val="center"/>
          </w:tcPr>
          <w:p>
            <w:pPr>
              <w:spacing w:after="120"/>
              <w:jc w:val="center"/>
              <w:rPr>
                <w:rFonts w:ascii="宋体" w:hAnsi="Calibri"/>
                <w:sz w:val="24"/>
              </w:rPr>
            </w:pPr>
            <w:r>
              <w:rPr>
                <w:rFonts w:hint="eastAsia" w:ascii="宋体" w:hAnsi="Calibri"/>
                <w:sz w:val="24"/>
              </w:rPr>
              <w:t>服务内容</w:t>
            </w:r>
          </w:p>
        </w:tc>
        <w:tc>
          <w:tcPr>
            <w:tcW w:w="1803" w:type="dxa"/>
            <w:vAlign w:val="center"/>
          </w:tcPr>
          <w:p>
            <w:pPr>
              <w:spacing w:after="120"/>
              <w:jc w:val="center"/>
              <w:rPr>
                <w:rFonts w:ascii="宋体" w:hAnsi="Calibri"/>
                <w:sz w:val="24"/>
              </w:rPr>
            </w:pPr>
            <w:r>
              <w:rPr>
                <w:rFonts w:hint="eastAsia" w:ascii="宋体" w:hAnsi="Calibri"/>
                <w:sz w:val="24"/>
              </w:rPr>
              <w:t>服务期限</w:t>
            </w:r>
          </w:p>
        </w:tc>
        <w:tc>
          <w:tcPr>
            <w:tcW w:w="1465" w:type="dxa"/>
            <w:vAlign w:val="center"/>
          </w:tcPr>
          <w:p>
            <w:pPr>
              <w:spacing w:after="120"/>
              <w:jc w:val="center"/>
              <w:rPr>
                <w:rFonts w:ascii="宋体" w:hAnsi="Calibri"/>
                <w:sz w:val="24"/>
              </w:rPr>
            </w:pPr>
            <w:r>
              <w:rPr>
                <w:rFonts w:hint="eastAsia" w:ascii="宋体" w:hAnsi="Calibri"/>
                <w:sz w:val="24"/>
              </w:rPr>
              <w:t>报价货币</w:t>
            </w:r>
          </w:p>
        </w:tc>
        <w:tc>
          <w:tcPr>
            <w:tcW w:w="2123" w:type="dxa"/>
            <w:vAlign w:val="center"/>
          </w:tcPr>
          <w:p>
            <w:pPr>
              <w:spacing w:after="120"/>
              <w:jc w:val="center"/>
              <w:rPr>
                <w:rFonts w:ascii="宋体" w:hAnsi="Calibri"/>
                <w:sz w:val="24"/>
              </w:rPr>
            </w:pPr>
            <w:r>
              <w:rPr>
                <w:rFonts w:hint="eastAsia" w:ascii="宋体" w:hAnsi="Calibri"/>
                <w:sz w:val="24"/>
              </w:rPr>
              <w:t>报价金额</w:t>
            </w:r>
          </w:p>
        </w:tc>
        <w:tc>
          <w:tcPr>
            <w:tcW w:w="1930" w:type="dxa"/>
            <w:vAlign w:val="center"/>
          </w:tcPr>
          <w:p>
            <w:pPr>
              <w:spacing w:after="120"/>
              <w:jc w:val="center"/>
              <w:rPr>
                <w:rFonts w:ascii="宋体" w:hAnsi="Calibri"/>
                <w:sz w:val="24"/>
              </w:rPr>
            </w:pPr>
            <w:r>
              <w:rPr>
                <w:rFonts w:hint="eastAsia" w:ascii="宋体" w:hAnsi="Calibr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pPr>
              <w:spacing w:after="120"/>
              <w:jc w:val="center"/>
              <w:rPr>
                <w:rFonts w:ascii="宋体" w:hAnsi="Calibri"/>
                <w:sz w:val="24"/>
              </w:rPr>
            </w:pPr>
          </w:p>
        </w:tc>
        <w:tc>
          <w:tcPr>
            <w:tcW w:w="1839" w:type="dxa"/>
            <w:vAlign w:val="center"/>
          </w:tcPr>
          <w:p>
            <w:pPr>
              <w:spacing w:after="120"/>
              <w:ind w:left="420" w:leftChars="200" w:firstLine="420"/>
              <w:jc w:val="center"/>
              <w:rPr>
                <w:rFonts w:ascii="宋体" w:hAnsi="Calibri"/>
                <w:sz w:val="24"/>
              </w:rPr>
            </w:pPr>
          </w:p>
        </w:tc>
        <w:tc>
          <w:tcPr>
            <w:tcW w:w="1803" w:type="dxa"/>
            <w:vAlign w:val="center"/>
          </w:tcPr>
          <w:p>
            <w:pPr>
              <w:spacing w:after="120"/>
              <w:ind w:left="420" w:leftChars="200" w:firstLine="420"/>
              <w:jc w:val="center"/>
              <w:rPr>
                <w:rFonts w:ascii="宋体" w:hAnsi="Calibri"/>
                <w:sz w:val="24"/>
              </w:rPr>
            </w:pPr>
          </w:p>
        </w:tc>
        <w:tc>
          <w:tcPr>
            <w:tcW w:w="1465" w:type="dxa"/>
            <w:vAlign w:val="center"/>
          </w:tcPr>
          <w:p>
            <w:pPr>
              <w:spacing w:after="120"/>
              <w:ind w:left="420" w:leftChars="200" w:firstLine="420"/>
              <w:jc w:val="center"/>
              <w:rPr>
                <w:rFonts w:ascii="宋体" w:hAnsi="Calibri"/>
                <w:sz w:val="24"/>
              </w:rPr>
            </w:pPr>
          </w:p>
        </w:tc>
        <w:tc>
          <w:tcPr>
            <w:tcW w:w="2123" w:type="dxa"/>
            <w:vAlign w:val="center"/>
          </w:tcPr>
          <w:p>
            <w:pPr>
              <w:spacing w:after="120"/>
              <w:ind w:left="420" w:leftChars="200" w:firstLine="420"/>
              <w:jc w:val="center"/>
              <w:rPr>
                <w:rFonts w:ascii="宋体" w:hAnsi="Calibri"/>
                <w:sz w:val="24"/>
              </w:rPr>
            </w:pPr>
          </w:p>
        </w:tc>
        <w:tc>
          <w:tcPr>
            <w:tcW w:w="1930" w:type="dxa"/>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pPr>
              <w:spacing w:after="120"/>
              <w:ind w:left="420" w:leftChars="200" w:firstLine="420"/>
              <w:jc w:val="center"/>
              <w:rPr>
                <w:rFonts w:ascii="宋体" w:hAnsi="Calibri"/>
                <w:sz w:val="24"/>
              </w:rPr>
            </w:pPr>
          </w:p>
        </w:tc>
        <w:tc>
          <w:tcPr>
            <w:tcW w:w="1839" w:type="dxa"/>
            <w:vAlign w:val="center"/>
          </w:tcPr>
          <w:p>
            <w:pPr>
              <w:spacing w:after="120"/>
              <w:ind w:left="420" w:leftChars="200" w:firstLine="420"/>
              <w:jc w:val="center"/>
              <w:rPr>
                <w:rFonts w:ascii="宋体" w:hAnsi="Calibri"/>
                <w:sz w:val="24"/>
              </w:rPr>
            </w:pPr>
          </w:p>
        </w:tc>
        <w:tc>
          <w:tcPr>
            <w:tcW w:w="1803" w:type="dxa"/>
            <w:vAlign w:val="center"/>
          </w:tcPr>
          <w:p>
            <w:pPr>
              <w:spacing w:after="120"/>
              <w:ind w:left="420" w:leftChars="200" w:firstLine="420"/>
              <w:jc w:val="center"/>
              <w:rPr>
                <w:rFonts w:ascii="宋体" w:hAnsi="Calibri"/>
                <w:sz w:val="24"/>
              </w:rPr>
            </w:pPr>
          </w:p>
        </w:tc>
        <w:tc>
          <w:tcPr>
            <w:tcW w:w="1465" w:type="dxa"/>
            <w:vAlign w:val="center"/>
          </w:tcPr>
          <w:p>
            <w:pPr>
              <w:spacing w:after="120"/>
              <w:ind w:left="420" w:leftChars="200" w:firstLine="420"/>
              <w:jc w:val="center"/>
              <w:rPr>
                <w:rFonts w:ascii="宋体" w:hAnsi="Calibri"/>
                <w:sz w:val="24"/>
              </w:rPr>
            </w:pPr>
          </w:p>
        </w:tc>
        <w:tc>
          <w:tcPr>
            <w:tcW w:w="2123" w:type="dxa"/>
            <w:vAlign w:val="center"/>
          </w:tcPr>
          <w:p>
            <w:pPr>
              <w:spacing w:after="120"/>
              <w:ind w:left="420" w:leftChars="200" w:firstLine="420"/>
              <w:jc w:val="center"/>
              <w:rPr>
                <w:rFonts w:ascii="宋体" w:hAnsi="Calibri"/>
                <w:sz w:val="24"/>
              </w:rPr>
            </w:pPr>
          </w:p>
        </w:tc>
        <w:tc>
          <w:tcPr>
            <w:tcW w:w="1930" w:type="dxa"/>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pPr>
              <w:spacing w:after="120"/>
              <w:ind w:left="420" w:leftChars="200" w:firstLine="420"/>
              <w:jc w:val="center"/>
              <w:rPr>
                <w:rFonts w:ascii="宋体" w:hAnsi="Calibri"/>
                <w:sz w:val="24"/>
              </w:rPr>
            </w:pPr>
          </w:p>
        </w:tc>
        <w:tc>
          <w:tcPr>
            <w:tcW w:w="1839" w:type="dxa"/>
            <w:vAlign w:val="center"/>
          </w:tcPr>
          <w:p>
            <w:pPr>
              <w:spacing w:after="120"/>
              <w:ind w:left="420" w:leftChars="200" w:firstLine="420"/>
              <w:jc w:val="center"/>
              <w:rPr>
                <w:rFonts w:ascii="宋体" w:hAnsi="Calibri"/>
                <w:sz w:val="24"/>
              </w:rPr>
            </w:pPr>
          </w:p>
        </w:tc>
        <w:tc>
          <w:tcPr>
            <w:tcW w:w="1803" w:type="dxa"/>
            <w:vAlign w:val="center"/>
          </w:tcPr>
          <w:p>
            <w:pPr>
              <w:spacing w:after="120"/>
              <w:ind w:left="420" w:leftChars="200" w:firstLine="420"/>
              <w:jc w:val="center"/>
              <w:rPr>
                <w:rFonts w:ascii="宋体" w:hAnsi="Calibri"/>
                <w:sz w:val="24"/>
              </w:rPr>
            </w:pPr>
          </w:p>
        </w:tc>
        <w:tc>
          <w:tcPr>
            <w:tcW w:w="1465" w:type="dxa"/>
            <w:vAlign w:val="center"/>
          </w:tcPr>
          <w:p>
            <w:pPr>
              <w:spacing w:after="120"/>
              <w:ind w:left="420" w:leftChars="200" w:firstLine="420"/>
              <w:jc w:val="center"/>
              <w:rPr>
                <w:rFonts w:ascii="宋体" w:hAnsi="Calibri"/>
                <w:sz w:val="24"/>
              </w:rPr>
            </w:pPr>
          </w:p>
        </w:tc>
        <w:tc>
          <w:tcPr>
            <w:tcW w:w="2123" w:type="dxa"/>
            <w:vAlign w:val="center"/>
          </w:tcPr>
          <w:p>
            <w:pPr>
              <w:spacing w:after="120"/>
              <w:ind w:left="420" w:leftChars="200" w:firstLine="420"/>
              <w:jc w:val="center"/>
              <w:rPr>
                <w:rFonts w:ascii="宋体" w:hAnsi="Calibri"/>
                <w:sz w:val="24"/>
              </w:rPr>
            </w:pPr>
          </w:p>
        </w:tc>
        <w:tc>
          <w:tcPr>
            <w:tcW w:w="1930" w:type="dxa"/>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415" w:type="dxa"/>
            <w:gridSpan w:val="2"/>
            <w:vAlign w:val="center"/>
          </w:tcPr>
          <w:p>
            <w:pPr>
              <w:spacing w:after="120"/>
              <w:jc w:val="center"/>
              <w:rPr>
                <w:rFonts w:ascii="宋体" w:hAnsi="Calibri"/>
                <w:sz w:val="24"/>
              </w:rPr>
            </w:pPr>
            <w:r>
              <w:rPr>
                <w:rFonts w:hint="eastAsia" w:ascii="宋体" w:hAnsi="Calibri"/>
                <w:sz w:val="24"/>
              </w:rPr>
              <w:t>总价（元）：</w:t>
            </w:r>
          </w:p>
        </w:tc>
        <w:tc>
          <w:tcPr>
            <w:tcW w:w="7321" w:type="dxa"/>
            <w:gridSpan w:val="4"/>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415" w:type="dxa"/>
            <w:gridSpan w:val="2"/>
            <w:vAlign w:val="center"/>
          </w:tcPr>
          <w:p>
            <w:pPr>
              <w:spacing w:after="120"/>
              <w:jc w:val="center"/>
              <w:rPr>
                <w:rFonts w:ascii="宋体" w:hAnsi="Calibri"/>
                <w:sz w:val="24"/>
              </w:rPr>
            </w:pPr>
            <w:r>
              <w:rPr>
                <w:rFonts w:hint="eastAsia" w:ascii="宋体" w:hAnsi="Calibri"/>
                <w:sz w:val="24"/>
              </w:rPr>
              <w:t>总价（大写）：</w:t>
            </w:r>
          </w:p>
        </w:tc>
        <w:tc>
          <w:tcPr>
            <w:tcW w:w="7321" w:type="dxa"/>
            <w:gridSpan w:val="4"/>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415" w:type="dxa"/>
            <w:gridSpan w:val="2"/>
            <w:vAlign w:val="center"/>
          </w:tcPr>
          <w:p>
            <w:pPr>
              <w:spacing w:after="120"/>
              <w:jc w:val="center"/>
              <w:rPr>
                <w:rFonts w:ascii="宋体" w:hAnsi="Calibri"/>
                <w:sz w:val="24"/>
              </w:rPr>
            </w:pPr>
            <w:r>
              <w:rPr>
                <w:rFonts w:hint="eastAsia" w:ascii="宋体" w:hAnsi="Calibri"/>
                <w:sz w:val="24"/>
              </w:rPr>
              <w:t>备注：</w:t>
            </w:r>
          </w:p>
        </w:tc>
        <w:tc>
          <w:tcPr>
            <w:tcW w:w="7321" w:type="dxa"/>
            <w:gridSpan w:val="4"/>
            <w:vAlign w:val="center"/>
          </w:tcPr>
          <w:p>
            <w:pPr>
              <w:spacing w:after="120"/>
              <w:ind w:left="420" w:leftChars="200" w:firstLine="420"/>
              <w:jc w:val="center"/>
              <w:rPr>
                <w:rFonts w:ascii="宋体" w:hAnsi="Calibri"/>
                <w:sz w:val="24"/>
              </w:rPr>
            </w:pPr>
          </w:p>
        </w:tc>
      </w:tr>
    </w:tbl>
    <w:p>
      <w:pPr>
        <w:pStyle w:val="2"/>
        <w:ind w:left="0" w:leftChars="0" w:firstLine="0" w:firstLineChars="0"/>
        <w:rPr>
          <w:rFonts w:ascii="宋体"/>
          <w:sz w:val="24"/>
        </w:rPr>
      </w:pPr>
    </w:p>
    <w:p>
      <w:pPr>
        <w:rPr>
          <w:rFonts w:ascii="宋体"/>
          <w:sz w:val="24"/>
        </w:rPr>
      </w:pPr>
    </w:p>
    <w:p>
      <w:pPr>
        <w:pStyle w:val="2"/>
        <w:ind w:left="1260"/>
        <w:rPr>
          <w:rFonts w:ascii="宋体"/>
          <w:sz w:val="24"/>
        </w:rPr>
      </w:pPr>
    </w:p>
    <w:p>
      <w:pPr>
        <w:rPr>
          <w:rFonts w:ascii="宋体"/>
          <w:sz w:val="24"/>
        </w:rPr>
      </w:pPr>
    </w:p>
    <w:p>
      <w:pPr>
        <w:pStyle w:val="2"/>
        <w:ind w:left="0" w:leftChars="0"/>
        <w:rPr>
          <w:rFonts w:ascii="宋体"/>
          <w:sz w:val="24"/>
        </w:rPr>
      </w:pPr>
    </w:p>
    <w:p>
      <w:pPr>
        <w:rPr>
          <w:rFonts w:ascii="宋体"/>
          <w:sz w:val="24"/>
        </w:rPr>
      </w:pPr>
    </w:p>
    <w:p>
      <w:pPr>
        <w:pStyle w:val="2"/>
        <w:ind w:left="1260"/>
        <w:rPr>
          <w:rFonts w:ascii="宋体"/>
          <w:sz w:val="24"/>
        </w:rPr>
      </w:pPr>
    </w:p>
    <w:p>
      <w:pPr>
        <w:pStyle w:val="2"/>
        <w:ind w:left="0" w:leftChars="0"/>
      </w:pPr>
    </w:p>
    <w:p>
      <w:pPr>
        <w:spacing w:line="360" w:lineRule="auto"/>
        <w:rPr>
          <w:rFonts w:ascii="宋体"/>
          <w:sz w:val="24"/>
        </w:rPr>
      </w:pPr>
      <w:r>
        <w:rPr>
          <w:rFonts w:hint="eastAsia" w:ascii="宋体"/>
          <w:sz w:val="24"/>
        </w:rPr>
        <w:t>说明：以上报价有缺漏的其响应将被否决。</w:t>
      </w:r>
    </w:p>
    <w:p>
      <w:pPr>
        <w:pStyle w:val="15"/>
        <w:ind w:firstLine="0" w:firstLineChars="0"/>
        <w:rPr>
          <w:rFonts w:ascii="宋体"/>
          <w:sz w:val="24"/>
        </w:rPr>
      </w:pPr>
    </w:p>
    <w:p>
      <w:pPr>
        <w:spacing w:line="360" w:lineRule="auto"/>
        <w:rPr>
          <w:rFonts w:ascii="宋体"/>
          <w:sz w:val="24"/>
        </w:rPr>
      </w:pPr>
      <w:r>
        <w:rPr>
          <w:rFonts w:hint="eastAsia" w:ascii="宋体"/>
          <w:sz w:val="24"/>
        </w:rPr>
        <w:t>供应商代表签字：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jc w:val="left"/>
        <w:rPr>
          <w:rFonts w:ascii="宋体" w:hAnsi="宋体" w:cs="宋体"/>
          <w:sz w:val="24"/>
        </w:rPr>
      </w:pPr>
    </w:p>
    <w:p>
      <w:pPr>
        <w:pStyle w:val="15"/>
        <w:ind w:firstLine="240"/>
        <w:rPr>
          <w:rFonts w:ascii="宋体" w:hAnsi="宋体" w:cs="宋体"/>
          <w:sz w:val="24"/>
        </w:rPr>
      </w:pPr>
    </w:p>
    <w:p>
      <w:pPr>
        <w:rPr>
          <w:rFonts w:hint="eastAsia" w:ascii="宋体" w:hAnsi="宋体" w:cs="宋体"/>
          <w:sz w:val="24"/>
        </w:rPr>
      </w:pPr>
      <w:r>
        <w:rPr>
          <w:rFonts w:hint="eastAsia" w:ascii="宋体" w:hAnsi="宋体" w:cs="宋体"/>
          <w:sz w:val="24"/>
        </w:rPr>
        <w:br w:type="page"/>
      </w:r>
    </w:p>
    <w:p>
      <w:pPr>
        <w:jc w:val="left"/>
        <w:rPr>
          <w:rFonts w:ascii="宋体" w:hAnsi="宋体" w:cs="宋体"/>
          <w:sz w:val="24"/>
        </w:rPr>
      </w:pPr>
      <w:r>
        <w:rPr>
          <w:rFonts w:hint="eastAsia" w:ascii="宋体" w:hAnsi="宋体" w:cs="宋体"/>
          <w:sz w:val="24"/>
        </w:rPr>
        <w:t>附件2：法人代表授权书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rPr>
          <w:rFonts w:ascii="宋体" w:hAnsi="宋体" w:cs="宋体"/>
        </w:rPr>
      </w:pPr>
    </w:p>
    <w:p>
      <w:pPr>
        <w:pStyle w:val="27"/>
        <w:autoSpaceDE w:val="0"/>
        <w:autoSpaceDN w:val="0"/>
        <w:spacing w:before="120" w:after="120" w:line="240" w:lineRule="atLeast"/>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27"/>
        <w:autoSpaceDE w:val="0"/>
        <w:autoSpaceDN w:val="0"/>
        <w:spacing w:before="120" w:after="120" w:line="240" w:lineRule="atLeast"/>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7"/>
        <w:autoSpaceDE w:val="0"/>
        <w:autoSpaceDN w:val="0"/>
        <w:spacing w:before="120" w:after="120" w:line="240" w:lineRule="atLeast"/>
        <w:jc w:val="left"/>
        <w:rPr>
          <w:rFonts w:ascii="宋体" w:hAnsi="宋体" w:eastAsia="宋体" w:cs="宋体"/>
        </w:rPr>
      </w:pPr>
    </w:p>
    <w:p>
      <w:pPr>
        <w:pStyle w:val="27"/>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7"/>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7"/>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7"/>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7"/>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7"/>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 xml:space="preserve">被授权人联系电话：  </w:t>
      </w:r>
      <w:bookmarkStart w:id="7" w:name="_GoBack"/>
      <w:bookmarkEnd w:id="7"/>
      <w:r>
        <w:rPr>
          <w:rFonts w:hint="eastAsia" w:ascii="宋体" w:hAnsi="宋体" w:eastAsia="宋体" w:cs="宋体"/>
          <w:u w:val="single"/>
        </w:rPr>
        <w:tab/>
      </w:r>
      <w:r>
        <w:rPr>
          <w:rFonts w:hint="eastAsia" w:ascii="宋体" w:hAnsi="宋体" w:eastAsia="宋体" w:cs="宋体"/>
          <w:u w:val="single"/>
        </w:rPr>
        <w:tab/>
      </w:r>
    </w:p>
    <w:p>
      <w:pPr>
        <w:rPr>
          <w:rFonts w:ascii="宋体" w:hAnsi="宋体" w:cs="宋体"/>
          <w:bCs/>
          <w:sz w:val="24"/>
        </w:rPr>
      </w:pPr>
      <w:r>
        <w:rPr>
          <w:rFonts w:hint="eastAsia" w:ascii="宋体" w:hAnsi="宋体" w:cs="宋体"/>
          <w:bCs/>
          <w:sz w:val="24"/>
        </w:rPr>
        <w:t>注：请另附上</w:t>
      </w:r>
      <w:r>
        <w:rPr>
          <w:rFonts w:hint="eastAsia" w:ascii="宋体" w:hAnsi="宋体" w:cs="宋体"/>
          <w:b/>
          <w:bCs w:val="0"/>
          <w:sz w:val="24"/>
        </w:rPr>
        <w:t>法人代表</w:t>
      </w:r>
      <w:r>
        <w:rPr>
          <w:rFonts w:hint="eastAsia" w:ascii="宋体" w:hAnsi="宋体" w:cs="宋体"/>
          <w:bCs/>
          <w:sz w:val="24"/>
        </w:rPr>
        <w:t>及</w:t>
      </w:r>
      <w:r>
        <w:rPr>
          <w:rFonts w:hint="eastAsia" w:ascii="宋体" w:hAnsi="宋体" w:cs="宋体"/>
          <w:b/>
          <w:bCs w:val="0"/>
          <w:sz w:val="24"/>
        </w:rPr>
        <w:t>被授权人</w:t>
      </w:r>
      <w:r>
        <w:rPr>
          <w:rFonts w:hint="eastAsia" w:ascii="宋体" w:hAnsi="宋体" w:cs="宋体"/>
          <w:bCs/>
          <w:sz w:val="24"/>
        </w:rPr>
        <w:t>的身份证（正反两面）或其他有效证件的复印件各一份。</w:t>
      </w:r>
    </w:p>
    <w:p>
      <w:pPr>
        <w:rPr>
          <w:rFonts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w:t>
      </w:r>
      <w:r>
        <w:rPr>
          <w:rFonts w:hint="eastAsia" w:ascii="宋体" w:hAnsi="宋体" w:cs="宋体"/>
          <w:sz w:val="24"/>
        </w:rPr>
        <w:t>技术参数偏离表</w:t>
      </w:r>
      <w:r>
        <w:rPr>
          <w:rFonts w:hint="eastAsia" w:ascii="宋体" w:hAnsi="宋体" w:cs="宋体"/>
          <w:bCs/>
          <w:sz w:val="32"/>
          <w:szCs w:val="20"/>
        </w:rPr>
        <w:t xml:space="preserve">   </w:t>
      </w: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技术参数偏离表（格式）</w:t>
      </w:r>
    </w:p>
    <w:p>
      <w:pPr>
        <w:rPr>
          <w:rFonts w:ascii="宋体" w:hAnsi="宋体" w:cs="宋体"/>
        </w:rPr>
      </w:pPr>
    </w:p>
    <w:p>
      <w:pPr>
        <w:rPr>
          <w:rFonts w:ascii="宋体" w:hAnsi="宋体" w:cs="宋体"/>
          <w:sz w:val="24"/>
        </w:rPr>
      </w:pPr>
      <w:r>
        <w:rPr>
          <w:rFonts w:hint="eastAsia" w:ascii="宋体" w:hAnsi="宋体" w:cs="宋体"/>
          <w:sz w:val="24"/>
        </w:rPr>
        <w:t>供应商名称：____________________________</w:t>
      </w:r>
    </w:p>
    <w:p>
      <w:pPr>
        <w:rPr>
          <w:rFonts w:ascii="宋体" w:hAnsi="宋体" w:cs="宋体"/>
        </w:rPr>
      </w:pPr>
    </w:p>
    <w:p>
      <w:pPr>
        <w:rPr>
          <w:rFonts w:ascii="宋体" w:hAnsi="宋体" w:cs="宋体"/>
        </w:rPr>
      </w:pPr>
    </w:p>
    <w:tbl>
      <w:tblPr>
        <w:tblStyle w:val="1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响应文件要求</w:t>
            </w:r>
          </w:p>
        </w:tc>
        <w:tc>
          <w:tcPr>
            <w:tcW w:w="1950" w:type="dxa"/>
            <w:vAlign w:val="center"/>
          </w:tcPr>
          <w:p>
            <w:pPr>
              <w:spacing w:line="360" w:lineRule="auto"/>
              <w:jc w:val="center"/>
              <w:rPr>
                <w:rFonts w:ascii="宋体" w:hAnsi="宋体" w:cs="宋体"/>
                <w:sz w:val="24"/>
              </w:rPr>
            </w:pPr>
            <w:r>
              <w:rPr>
                <w:rFonts w:hint="eastAsia" w:ascii="宋体" w:hAnsi="宋体" w:cs="宋体"/>
                <w:sz w:val="24"/>
              </w:rPr>
              <w:t>响应情况说明</w:t>
            </w:r>
          </w:p>
        </w:tc>
        <w:tc>
          <w:tcPr>
            <w:tcW w:w="1424"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1、供应商应对照遴选文件“第二章 技术参数与要求”的相关内容，逐条说明所提供货物和服务已对遴选文件的需求做出了实质性的响应，并申明与需求的偏差和例外。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ascii="宋体" w:hAnsi="宋体" w:cs="宋体"/>
          <w:sz w:val="24"/>
        </w:rPr>
      </w:pPr>
      <w:r>
        <w:rPr>
          <w:rFonts w:hint="eastAsia" w:ascii="宋体" w:hAnsi="宋体" w:cs="宋体"/>
          <w:b/>
          <w:sz w:val="32"/>
          <w:szCs w:val="20"/>
        </w:rPr>
        <w:t>用户名单</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tcPr>
          <w:p>
            <w:pPr>
              <w:spacing w:line="360" w:lineRule="auto"/>
              <w:jc w:val="center"/>
              <w:rPr>
                <w:rFonts w:ascii="宋体" w:hAnsi="宋体" w:cs="宋体"/>
                <w:sz w:val="24"/>
              </w:rPr>
            </w:pPr>
            <w:r>
              <w:rPr>
                <w:rFonts w:hint="eastAsia" w:ascii="宋体" w:hAnsi="宋体" w:cs="宋体"/>
                <w:sz w:val="24"/>
              </w:rPr>
              <w:t>用户名称</w:t>
            </w:r>
          </w:p>
        </w:tc>
        <w:tc>
          <w:tcPr>
            <w:tcW w:w="1559" w:type="dxa"/>
          </w:tcPr>
          <w:p>
            <w:pPr>
              <w:spacing w:line="360" w:lineRule="auto"/>
              <w:jc w:val="center"/>
              <w:rPr>
                <w:rFonts w:ascii="宋体" w:hAnsi="宋体" w:cs="宋体"/>
                <w:sz w:val="24"/>
              </w:rPr>
            </w:pPr>
            <w:r>
              <w:rPr>
                <w:rFonts w:hint="eastAsia" w:ascii="宋体" w:hAnsi="宋体" w:cs="宋体"/>
                <w:sz w:val="24"/>
              </w:rPr>
              <w:t>所属城市</w:t>
            </w:r>
          </w:p>
        </w:tc>
        <w:tc>
          <w:tcPr>
            <w:tcW w:w="1560" w:type="dxa"/>
          </w:tcPr>
          <w:p>
            <w:pPr>
              <w:spacing w:line="360" w:lineRule="auto"/>
              <w:jc w:val="center"/>
              <w:rPr>
                <w:rFonts w:ascii="宋体" w:hAnsi="宋体" w:cs="宋体"/>
                <w:sz w:val="24"/>
              </w:rPr>
            </w:pPr>
            <w:r>
              <w:rPr>
                <w:rFonts w:hint="eastAsia" w:ascii="宋体" w:hAnsi="宋体" w:cs="宋体"/>
                <w:sz w:val="24"/>
              </w:rPr>
              <w:t>数量</w:t>
            </w:r>
          </w:p>
        </w:tc>
        <w:tc>
          <w:tcPr>
            <w:tcW w:w="1275" w:type="dxa"/>
          </w:tcPr>
          <w:p>
            <w:pPr>
              <w:spacing w:line="360" w:lineRule="auto"/>
              <w:jc w:val="center"/>
              <w:rPr>
                <w:rFonts w:ascii="宋体" w:hAnsi="宋体" w:cs="宋体"/>
                <w:sz w:val="24"/>
              </w:rPr>
            </w:pPr>
            <w:r>
              <w:rPr>
                <w:rFonts w:hint="eastAsia" w:ascii="宋体" w:hAnsi="宋体" w:cs="宋体"/>
                <w:sz w:val="24"/>
              </w:rPr>
              <w:t>联系人</w:t>
            </w:r>
          </w:p>
        </w:tc>
        <w:tc>
          <w:tcPr>
            <w:tcW w:w="1843" w:type="dxa"/>
          </w:tcPr>
          <w:p>
            <w:pPr>
              <w:spacing w:line="360" w:lineRule="auto"/>
              <w:jc w:val="center"/>
              <w:rPr>
                <w:rFonts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附件5：信用中国查询结果截图（模板如下）：</w:t>
      </w:r>
    </w:p>
    <w:p>
      <w:pPr>
        <w:ind w:firstLine="3040" w:firstLineChars="950"/>
        <w:rPr>
          <w:rFonts w:ascii="宋体" w:hAnsi="宋体" w:cs="宋体"/>
          <w:b/>
          <w:sz w:val="32"/>
          <w:szCs w:val="20"/>
        </w:rPr>
      </w:pPr>
      <w:r>
        <w:rPr>
          <w:rFonts w:hint="eastAsia" w:ascii="宋体" w:hAnsi="宋体" w:cs="宋体"/>
          <w:b/>
          <w:sz w:val="32"/>
          <w:szCs w:val="20"/>
        </w:rPr>
        <w:t>信用中国查询结果截图</w:t>
      </w:r>
    </w:p>
    <w:p>
      <w:pPr>
        <w:rPr>
          <w:rFonts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cstate="print"/>
                    <a:stretch>
                      <a:fillRect/>
                    </a:stretch>
                  </pic:blipFill>
                  <pic:spPr>
                    <a:xfrm>
                      <a:off x="0" y="0"/>
                      <a:ext cx="5762625" cy="4307205"/>
                    </a:xfrm>
                    <a:prstGeom prst="rect">
                      <a:avLst/>
                    </a:prstGeom>
                    <a:noFill/>
                    <a:ln>
                      <a:noFill/>
                    </a:ln>
                  </pic:spPr>
                </pic:pic>
              </a:graphicData>
            </a:graphic>
          </wp:inline>
        </w:drawing>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附件6：无重大违法记录承诺书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pStyle w:val="7"/>
        <w:rPr>
          <w:rFonts w:ascii="宋体" w:hAnsi="宋体" w:cs="宋体"/>
          <w:sz w:val="24"/>
          <w:u w:val="single"/>
        </w:rPr>
      </w:pPr>
    </w:p>
    <w:p>
      <w:pPr>
        <w:pStyle w:val="7"/>
        <w:rPr>
          <w:rFonts w:ascii="宋体" w:hAnsi="宋体" w:cs="宋体"/>
          <w:sz w:val="24"/>
          <w:u w:val="single"/>
        </w:rPr>
      </w:pPr>
    </w:p>
    <w:p>
      <w:pPr>
        <w:pStyle w:val="7"/>
        <w:rPr>
          <w:rFonts w:ascii="宋体" w:hAnsi="宋体" w:cs="宋体"/>
          <w:sz w:val="24"/>
          <w:u w:val="single"/>
        </w:rPr>
      </w:pPr>
    </w:p>
    <w:p>
      <w:pPr>
        <w:rPr>
          <w:rFonts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附件7：无行贿犯罪记录声明函</w:t>
      </w: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 xml:space="preserve">投标人代表签字: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投标人名称: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sectPr>
      <w:footerReference r:id="rId5" w:type="first"/>
      <w:headerReference r:id="rId3" w:type="default"/>
      <w:footerReference r:id="rId4" w:type="default"/>
      <w:pgSz w:w="11906" w:h="16838"/>
      <w:pgMar w:top="1440" w:right="1304" w:bottom="1440" w:left="1304"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Arial Unicode MS"/>
    <w:panose1 w:val="00000000000000000000"/>
    <w:charset w:val="86"/>
    <w:family w:val="roman"/>
    <w:pitch w:val="default"/>
    <w:sig w:usb0="00000000" w:usb1="00000000" w:usb2="00000000" w:usb3="00000000" w:csb0="0016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2185" cy="147955"/>
              <wp:effectExtent l="0" t="0" r="0" b="0"/>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1.65pt;width:76.55pt;mso-position-horizontal:center;mso-position-horizontal-relative:margin;mso-wrap-style:none;z-index:251661312;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0naTQ0gAAAAQBAAAPAAAAAAAAAAEAIAAAACIAAABkcnMvZG93bnJldi54bWxQSwEC&#10;FAAUAAAACACHTuJAcjpG4PoBAAABBAAADgAAAAAAAAABACAAAAAhAQAAZHJzL2Uyb0RvYy54bWxQ&#10;SwUGAAAAAAYABgBZAQAAj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15035" cy="147955"/>
              <wp:effectExtent l="0" t="0" r="0" b="0"/>
              <wp:wrapNone/>
              <wp:docPr id="4" name="Text Box 6"/>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11.65pt;width:72.05pt;mso-position-horizontal:center;mso-position-horizontal-relative:margin;mso-wrap-style:none;z-index:251662336;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7eqt9IAAAAEAQAADwAAAAAAAAABACAAAAAiAAAAZHJzL2Rvd25yZXYueG1sUEsB&#10;AhQAFAAAAAgAh07iQOspp/j7AQAAAQQAAA4AAAAAAAAAAQAgAAAAIQEAAGRycy9lMm9Eb2MueG1s&#10;UEsFBgAAAAAGAAYAWQEAAI4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B376F"/>
    <w:multiLevelType w:val="singleLevel"/>
    <w:tmpl w:val="9B2B376F"/>
    <w:lvl w:ilvl="0" w:tentative="0">
      <w:start w:val="1"/>
      <w:numFmt w:val="decimal"/>
      <w:lvlText w:val="%1)"/>
      <w:lvlJc w:val="left"/>
      <w:pPr>
        <w:ind w:left="845" w:hanging="425"/>
      </w:pPr>
      <w:rPr>
        <w:rFonts w:hint="default"/>
      </w:rPr>
    </w:lvl>
  </w:abstractNum>
  <w:abstractNum w:abstractNumId="1">
    <w:nsid w:val="B454D804"/>
    <w:multiLevelType w:val="singleLevel"/>
    <w:tmpl w:val="B454D804"/>
    <w:lvl w:ilvl="0" w:tentative="0">
      <w:start w:val="1"/>
      <w:numFmt w:val="decimal"/>
      <w:lvlText w:val="%1)"/>
      <w:lvlJc w:val="left"/>
      <w:pPr>
        <w:ind w:left="845" w:hanging="425"/>
      </w:pPr>
      <w:rPr>
        <w:rFonts w:hint="default"/>
      </w:rPr>
    </w:lvl>
  </w:abstractNum>
  <w:abstractNum w:abstractNumId="2">
    <w:nsid w:val="BF8F1C44"/>
    <w:multiLevelType w:val="singleLevel"/>
    <w:tmpl w:val="BF8F1C44"/>
    <w:lvl w:ilvl="0" w:tentative="0">
      <w:start w:val="1"/>
      <w:numFmt w:val="decimal"/>
      <w:suff w:val="nothing"/>
      <w:lvlText w:val="%1、"/>
      <w:lvlJc w:val="left"/>
    </w:lvl>
  </w:abstractNum>
  <w:abstractNum w:abstractNumId="3">
    <w:nsid w:val="D0729AD2"/>
    <w:multiLevelType w:val="singleLevel"/>
    <w:tmpl w:val="D0729AD2"/>
    <w:lvl w:ilvl="0" w:tentative="0">
      <w:start w:val="1"/>
      <w:numFmt w:val="decimal"/>
      <w:lvlText w:val="%1)"/>
      <w:lvlJc w:val="left"/>
      <w:pPr>
        <w:ind w:left="845" w:hanging="425"/>
      </w:pPr>
      <w:rPr>
        <w:rFonts w:hint="default"/>
      </w:rPr>
    </w:lvl>
  </w:abstractNum>
  <w:abstractNum w:abstractNumId="4">
    <w:nsid w:val="F7E96723"/>
    <w:multiLevelType w:val="singleLevel"/>
    <w:tmpl w:val="F7E96723"/>
    <w:lvl w:ilvl="0" w:tentative="0">
      <w:start w:val="1"/>
      <w:numFmt w:val="decimal"/>
      <w:lvlText w:val="%1)"/>
      <w:lvlJc w:val="left"/>
      <w:pPr>
        <w:ind w:left="425" w:hanging="425"/>
      </w:pPr>
      <w:rPr>
        <w:rFonts w:hint="default"/>
      </w:rPr>
    </w:lvl>
  </w:abstractNum>
  <w:abstractNum w:abstractNumId="5">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4"/>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6">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99E2DD7"/>
    <w:multiLevelType w:val="multilevel"/>
    <w:tmpl w:val="399E2DD7"/>
    <w:lvl w:ilvl="0" w:tentative="0">
      <w:start w:val="1"/>
      <w:numFmt w:val="decimal"/>
      <w:lvlText w:val="%1)"/>
      <w:lvlJc w:val="left"/>
      <w:pPr>
        <w:ind w:left="1264" w:hanging="420"/>
      </w:pPr>
    </w:lvl>
    <w:lvl w:ilvl="1" w:tentative="0">
      <w:start w:val="1"/>
      <w:numFmt w:val="lowerLetter"/>
      <w:lvlText w:val="%2)"/>
      <w:lvlJc w:val="left"/>
      <w:pPr>
        <w:ind w:left="1684" w:hanging="420"/>
      </w:pPr>
    </w:lvl>
    <w:lvl w:ilvl="2" w:tentative="0">
      <w:start w:val="1"/>
      <w:numFmt w:val="lowerRoman"/>
      <w:lvlText w:val="%3."/>
      <w:lvlJc w:val="right"/>
      <w:pPr>
        <w:ind w:left="2104" w:hanging="420"/>
      </w:pPr>
    </w:lvl>
    <w:lvl w:ilvl="3" w:tentative="0">
      <w:start w:val="1"/>
      <w:numFmt w:val="decimal"/>
      <w:lvlText w:val="%4."/>
      <w:lvlJc w:val="left"/>
      <w:pPr>
        <w:ind w:left="2524" w:hanging="420"/>
      </w:pPr>
    </w:lvl>
    <w:lvl w:ilvl="4" w:tentative="0">
      <w:start w:val="1"/>
      <w:numFmt w:val="lowerLetter"/>
      <w:lvlText w:val="%5)"/>
      <w:lvlJc w:val="left"/>
      <w:pPr>
        <w:ind w:left="2944" w:hanging="420"/>
      </w:pPr>
    </w:lvl>
    <w:lvl w:ilvl="5" w:tentative="0">
      <w:start w:val="1"/>
      <w:numFmt w:val="lowerRoman"/>
      <w:lvlText w:val="%6."/>
      <w:lvlJc w:val="right"/>
      <w:pPr>
        <w:ind w:left="3364" w:hanging="420"/>
      </w:pPr>
    </w:lvl>
    <w:lvl w:ilvl="6" w:tentative="0">
      <w:start w:val="1"/>
      <w:numFmt w:val="decimal"/>
      <w:lvlText w:val="%7."/>
      <w:lvlJc w:val="left"/>
      <w:pPr>
        <w:ind w:left="3784" w:hanging="420"/>
      </w:pPr>
    </w:lvl>
    <w:lvl w:ilvl="7" w:tentative="0">
      <w:start w:val="1"/>
      <w:numFmt w:val="lowerLetter"/>
      <w:lvlText w:val="%8)"/>
      <w:lvlJc w:val="left"/>
      <w:pPr>
        <w:ind w:left="4204" w:hanging="420"/>
      </w:pPr>
    </w:lvl>
    <w:lvl w:ilvl="8" w:tentative="0">
      <w:start w:val="1"/>
      <w:numFmt w:val="lowerRoman"/>
      <w:lvlText w:val="%9."/>
      <w:lvlJc w:val="right"/>
      <w:pPr>
        <w:ind w:left="4624" w:hanging="420"/>
      </w:pPr>
    </w:lvl>
  </w:abstractNum>
  <w:abstractNum w:abstractNumId="9">
    <w:nsid w:val="467B2CF5"/>
    <w:multiLevelType w:val="multilevel"/>
    <w:tmpl w:val="467B2CF5"/>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0">
    <w:nsid w:val="6D985AF7"/>
    <w:multiLevelType w:val="singleLevel"/>
    <w:tmpl w:val="6D985AF7"/>
    <w:lvl w:ilvl="0" w:tentative="0">
      <w:start w:val="1"/>
      <w:numFmt w:val="decimal"/>
      <w:lvlText w:val="%1)"/>
      <w:lvlJc w:val="left"/>
      <w:pPr>
        <w:ind w:left="425" w:hanging="425"/>
      </w:pPr>
      <w:rPr>
        <w:rFonts w:hint="default"/>
      </w:r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0"/>
  </w:num>
  <w:num w:numId="8">
    <w:abstractNumId w:val="6"/>
  </w:num>
  <w:num w:numId="9">
    <w:abstractNumId w:val="2"/>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94E92"/>
    <w:rsid w:val="000D02C6"/>
    <w:rsid w:val="000D69AE"/>
    <w:rsid w:val="00164B26"/>
    <w:rsid w:val="001B19F3"/>
    <w:rsid w:val="00265C46"/>
    <w:rsid w:val="002B3AA2"/>
    <w:rsid w:val="002B577C"/>
    <w:rsid w:val="00370B05"/>
    <w:rsid w:val="00386F46"/>
    <w:rsid w:val="004455D6"/>
    <w:rsid w:val="005D5888"/>
    <w:rsid w:val="00632971"/>
    <w:rsid w:val="006F02F9"/>
    <w:rsid w:val="007767C7"/>
    <w:rsid w:val="00871A3B"/>
    <w:rsid w:val="008C174C"/>
    <w:rsid w:val="00946B48"/>
    <w:rsid w:val="00AC7C38"/>
    <w:rsid w:val="00BA1CCD"/>
    <w:rsid w:val="00BA332B"/>
    <w:rsid w:val="00C13E2C"/>
    <w:rsid w:val="00CE1FB9"/>
    <w:rsid w:val="00D400A1"/>
    <w:rsid w:val="00D85B82"/>
    <w:rsid w:val="00DC33FD"/>
    <w:rsid w:val="00EC0807"/>
    <w:rsid w:val="00EF3F06"/>
    <w:rsid w:val="00F94D09"/>
    <w:rsid w:val="0357066F"/>
    <w:rsid w:val="056C2D54"/>
    <w:rsid w:val="05BE3ADF"/>
    <w:rsid w:val="06A71963"/>
    <w:rsid w:val="07CC3CE5"/>
    <w:rsid w:val="07FC03D1"/>
    <w:rsid w:val="07FF5C5B"/>
    <w:rsid w:val="085A7398"/>
    <w:rsid w:val="0CA93B2B"/>
    <w:rsid w:val="0D6D61B7"/>
    <w:rsid w:val="0D6F2978"/>
    <w:rsid w:val="0DF728DE"/>
    <w:rsid w:val="0FA0712C"/>
    <w:rsid w:val="0FE80FB7"/>
    <w:rsid w:val="0FEE35BB"/>
    <w:rsid w:val="1182692A"/>
    <w:rsid w:val="149E3943"/>
    <w:rsid w:val="167D3F07"/>
    <w:rsid w:val="17807FD2"/>
    <w:rsid w:val="17DB3911"/>
    <w:rsid w:val="19AF0388"/>
    <w:rsid w:val="1B2858DB"/>
    <w:rsid w:val="1B812479"/>
    <w:rsid w:val="1CA73DFC"/>
    <w:rsid w:val="1DDE59E8"/>
    <w:rsid w:val="1F9667C1"/>
    <w:rsid w:val="207756F7"/>
    <w:rsid w:val="20DC0F2D"/>
    <w:rsid w:val="21AD19D1"/>
    <w:rsid w:val="224D1A14"/>
    <w:rsid w:val="23B337CB"/>
    <w:rsid w:val="245C312A"/>
    <w:rsid w:val="25315A4D"/>
    <w:rsid w:val="25BD6C34"/>
    <w:rsid w:val="26312F73"/>
    <w:rsid w:val="264A077C"/>
    <w:rsid w:val="26BA3B66"/>
    <w:rsid w:val="28AA0CAA"/>
    <w:rsid w:val="291D0ED5"/>
    <w:rsid w:val="2C7A2EB0"/>
    <w:rsid w:val="2E2456A8"/>
    <w:rsid w:val="2E2B75C3"/>
    <w:rsid w:val="31501BF3"/>
    <w:rsid w:val="316E4C5B"/>
    <w:rsid w:val="32BB4705"/>
    <w:rsid w:val="354A2CD2"/>
    <w:rsid w:val="378515A4"/>
    <w:rsid w:val="3C063146"/>
    <w:rsid w:val="3EA96684"/>
    <w:rsid w:val="3FDC4CB6"/>
    <w:rsid w:val="3FF55287"/>
    <w:rsid w:val="4073414D"/>
    <w:rsid w:val="40B00C52"/>
    <w:rsid w:val="40C91709"/>
    <w:rsid w:val="40EE167A"/>
    <w:rsid w:val="410D1E93"/>
    <w:rsid w:val="425451CC"/>
    <w:rsid w:val="42AF15FA"/>
    <w:rsid w:val="42B5097B"/>
    <w:rsid w:val="43261ABD"/>
    <w:rsid w:val="4524248D"/>
    <w:rsid w:val="454229EF"/>
    <w:rsid w:val="45FD5C23"/>
    <w:rsid w:val="48352241"/>
    <w:rsid w:val="48543680"/>
    <w:rsid w:val="490B3CA7"/>
    <w:rsid w:val="495C1F18"/>
    <w:rsid w:val="4AAC1378"/>
    <w:rsid w:val="4ADD28AB"/>
    <w:rsid w:val="4B1B1618"/>
    <w:rsid w:val="4BD542C0"/>
    <w:rsid w:val="4C120A11"/>
    <w:rsid w:val="4FF84097"/>
    <w:rsid w:val="502865F4"/>
    <w:rsid w:val="506131F5"/>
    <w:rsid w:val="535C1F33"/>
    <w:rsid w:val="576A6288"/>
    <w:rsid w:val="57C22C9A"/>
    <w:rsid w:val="57DFA24C"/>
    <w:rsid w:val="5A226281"/>
    <w:rsid w:val="5A2B20D0"/>
    <w:rsid w:val="5B8D0F7C"/>
    <w:rsid w:val="5BA179EA"/>
    <w:rsid w:val="5C1E451F"/>
    <w:rsid w:val="5C8F0619"/>
    <w:rsid w:val="5CC67532"/>
    <w:rsid w:val="5D7307B3"/>
    <w:rsid w:val="5DA899B4"/>
    <w:rsid w:val="5E2A68F7"/>
    <w:rsid w:val="5F921471"/>
    <w:rsid w:val="5FAC5FBA"/>
    <w:rsid w:val="61714136"/>
    <w:rsid w:val="61DE4C7B"/>
    <w:rsid w:val="63D80E82"/>
    <w:rsid w:val="64C51C39"/>
    <w:rsid w:val="65454341"/>
    <w:rsid w:val="67404C39"/>
    <w:rsid w:val="697417E4"/>
    <w:rsid w:val="6ADC38BB"/>
    <w:rsid w:val="6B2F17DE"/>
    <w:rsid w:val="6B764EF7"/>
    <w:rsid w:val="6C0E74B9"/>
    <w:rsid w:val="6CB91B00"/>
    <w:rsid w:val="6D9545B2"/>
    <w:rsid w:val="6E871F5F"/>
    <w:rsid w:val="6EED3858"/>
    <w:rsid w:val="6F741DC3"/>
    <w:rsid w:val="71463E8D"/>
    <w:rsid w:val="715A3434"/>
    <w:rsid w:val="747223BE"/>
    <w:rsid w:val="77CE2688"/>
    <w:rsid w:val="77E83CDB"/>
    <w:rsid w:val="793D76D4"/>
    <w:rsid w:val="797A18E5"/>
    <w:rsid w:val="79A9110D"/>
    <w:rsid w:val="79BE871F"/>
    <w:rsid w:val="79EA1EFB"/>
    <w:rsid w:val="7A34105D"/>
    <w:rsid w:val="7A3E764E"/>
    <w:rsid w:val="7B904B1F"/>
    <w:rsid w:val="7BEE322B"/>
    <w:rsid w:val="7CD96D8E"/>
    <w:rsid w:val="7D231939"/>
    <w:rsid w:val="7D635FF2"/>
    <w:rsid w:val="7FAC6AAC"/>
    <w:rsid w:val="7FAF661B"/>
    <w:rsid w:val="7FDF474A"/>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style>
  <w:style w:type="paragraph" w:styleId="6">
    <w:name w:val="annotation text"/>
    <w:basedOn w:val="1"/>
    <w:link w:val="32"/>
    <w:qFormat/>
    <w:uiPriority w:val="0"/>
    <w:pPr>
      <w:jc w:val="left"/>
    </w:pPr>
  </w:style>
  <w:style w:type="paragraph" w:styleId="7">
    <w:name w:val="Body Text"/>
    <w:basedOn w:val="1"/>
    <w:qFormat/>
    <w:uiPriority w:val="0"/>
    <w:pPr>
      <w:spacing w:after="120"/>
    </w:pPr>
  </w:style>
  <w:style w:type="paragraph" w:styleId="8">
    <w:name w:val="Body Text Indent"/>
    <w:basedOn w:val="1"/>
    <w:qFormat/>
    <w:uiPriority w:val="0"/>
    <w:pPr>
      <w:spacing w:line="360" w:lineRule="auto"/>
      <w:ind w:left="420" w:firstLine="420"/>
    </w:pPr>
    <w:rPr>
      <w:rFonts w:ascii="宋体" w:hAnsi="宋体"/>
      <w:sz w:val="24"/>
      <w:shd w:val="pct10" w:color="auto" w:fill="FFFFFF"/>
    </w:rPr>
  </w:style>
  <w:style w:type="paragraph" w:styleId="9">
    <w:name w:val="Balloon Text"/>
    <w:basedOn w:val="1"/>
    <w:link w:val="28"/>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jc w:val="center"/>
    </w:pPr>
    <w:rPr>
      <w:rFonts w:ascii="楷体_GB2312" w:eastAsia="楷体_GB2312"/>
      <w:b/>
      <w:sz w:val="72"/>
      <w:szCs w:val="20"/>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6"/>
    <w:next w:val="6"/>
    <w:link w:val="33"/>
    <w:qFormat/>
    <w:uiPriority w:val="0"/>
    <w:rPr>
      <w:b/>
      <w:bCs/>
    </w:rPr>
  </w:style>
  <w:style w:type="paragraph" w:styleId="15">
    <w:name w:val="Body Text First Indent"/>
    <w:basedOn w:val="7"/>
    <w:unhideWhenUsed/>
    <w:qFormat/>
    <w:uiPriority w:val="99"/>
    <w:pPr>
      <w:ind w:firstLine="420" w:firstLineChars="100"/>
    </w:pPr>
  </w:style>
  <w:style w:type="paragraph" w:styleId="16">
    <w:name w:val="Body Text First Indent 2"/>
    <w:basedOn w:val="8"/>
    <w:unhideWhenUsed/>
    <w:qFormat/>
    <w:uiPriority w:val="99"/>
  </w:style>
  <w:style w:type="character" w:styleId="19">
    <w:name w:val="page number"/>
    <w:qFormat/>
    <w:uiPriority w:val="0"/>
  </w:style>
  <w:style w:type="character" w:styleId="20">
    <w:name w:val="FollowedHyperlink"/>
    <w:basedOn w:val="18"/>
    <w:qFormat/>
    <w:uiPriority w:val="0"/>
    <w:rPr>
      <w:color w:val="800080"/>
      <w:u w:val="single"/>
    </w:rPr>
  </w:style>
  <w:style w:type="character" w:styleId="21">
    <w:name w:val="Hyperlink"/>
    <w:unhideWhenUsed/>
    <w:qFormat/>
    <w:uiPriority w:val="0"/>
    <w:rPr>
      <w:color w:val="0000FF"/>
      <w:u w:val="single"/>
    </w:rPr>
  </w:style>
  <w:style w:type="character" w:styleId="22">
    <w:name w:val="annotation reference"/>
    <w:basedOn w:val="18"/>
    <w:qFormat/>
    <w:uiPriority w:val="0"/>
    <w:rPr>
      <w:sz w:val="21"/>
      <w:szCs w:val="21"/>
    </w:rPr>
  </w:style>
  <w:style w:type="paragraph" w:customStyle="1" w:styleId="23">
    <w:name w:val="ITB-0"/>
    <w:basedOn w:val="1"/>
    <w:qFormat/>
    <w:uiPriority w:val="0"/>
    <w:pPr>
      <w:adjustRightInd w:val="0"/>
      <w:jc w:val="center"/>
    </w:pPr>
    <w:rPr>
      <w:b/>
      <w:sz w:val="32"/>
      <w:szCs w:val="20"/>
    </w:rPr>
  </w:style>
  <w:style w:type="paragraph" w:customStyle="1" w:styleId="24">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5">
    <w:name w:val="ifb-1"/>
    <w:basedOn w:val="1"/>
    <w:qFormat/>
    <w:uiPriority w:val="0"/>
    <w:pPr>
      <w:ind w:left="420" w:hanging="420"/>
    </w:pPr>
    <w:rPr>
      <w:rFonts w:ascii="楷体_GB2312" w:eastAsia="楷体_GB2312"/>
      <w:szCs w:val="20"/>
    </w:rPr>
  </w:style>
  <w:style w:type="paragraph" w:customStyle="1" w:styleId="26">
    <w:name w:val="列出段落1"/>
    <w:basedOn w:val="1"/>
    <w:qFormat/>
    <w:uiPriority w:val="0"/>
    <w:pPr>
      <w:ind w:firstLine="420" w:firstLineChars="200"/>
    </w:pPr>
    <w:rPr>
      <w:rFonts w:ascii="Calibri" w:hAnsi="Calibri"/>
      <w:szCs w:val="22"/>
    </w:rPr>
  </w:style>
  <w:style w:type="paragraph" w:customStyle="1" w:styleId="27">
    <w:name w:val="att"/>
    <w:basedOn w:val="1"/>
    <w:qFormat/>
    <w:uiPriority w:val="0"/>
    <w:pPr>
      <w:spacing w:line="360" w:lineRule="auto"/>
    </w:pPr>
    <w:rPr>
      <w:rFonts w:eastAsia="楷体_GB2312"/>
      <w:sz w:val="24"/>
      <w:szCs w:val="20"/>
    </w:rPr>
  </w:style>
  <w:style w:type="character" w:customStyle="1" w:styleId="28">
    <w:name w:val="批注框文本 Char"/>
    <w:basedOn w:val="18"/>
    <w:link w:val="9"/>
    <w:qFormat/>
    <w:uiPriority w:val="0"/>
    <w:rPr>
      <w:kern w:val="2"/>
      <w:sz w:val="18"/>
      <w:szCs w:val="18"/>
    </w:rPr>
  </w:style>
  <w:style w:type="paragraph" w:styleId="29">
    <w:name w:val="List Paragraph"/>
    <w:basedOn w:val="1"/>
    <w:qFormat/>
    <w:uiPriority w:val="34"/>
    <w:pPr>
      <w:ind w:firstLine="420" w:firstLineChars="200"/>
    </w:pPr>
  </w:style>
  <w:style w:type="paragraph" w:customStyle="1" w:styleId="3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1">
    <w:name w:val="fontstyle01"/>
    <w:basedOn w:val="18"/>
    <w:qFormat/>
    <w:uiPriority w:val="0"/>
    <w:rPr>
      <w:rFonts w:hint="default" w:ascii="FZFSK--GBK1-0" w:hAnsi="FZFSK--GBK1-0"/>
      <w:color w:val="333333"/>
      <w:sz w:val="24"/>
      <w:szCs w:val="24"/>
    </w:rPr>
  </w:style>
  <w:style w:type="character" w:customStyle="1" w:styleId="32">
    <w:name w:val="批注文字 Char"/>
    <w:basedOn w:val="18"/>
    <w:link w:val="6"/>
    <w:qFormat/>
    <w:uiPriority w:val="0"/>
    <w:rPr>
      <w:kern w:val="2"/>
      <w:sz w:val="21"/>
      <w:szCs w:val="24"/>
    </w:rPr>
  </w:style>
  <w:style w:type="character" w:customStyle="1" w:styleId="33">
    <w:name w:val="批注主题 Char"/>
    <w:basedOn w:val="32"/>
    <w:link w:val="14"/>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7448</Words>
  <Characters>8072</Characters>
  <Lines>68</Lines>
  <Paragraphs>19</Paragraphs>
  <TotalTime>6</TotalTime>
  <ScaleCrop>false</ScaleCrop>
  <LinksUpToDate>false</LinksUpToDate>
  <CharactersWithSpaces>8654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2023-01-20T12:46:00Z</dcterms:created>
  <dc:creator>user</dc:creator>
  <cp:lastModifiedBy>user</cp:lastModifiedBy>
  <dcterms:modified xsi:type="dcterms:W3CDTF">2023-05-17T03:28:40Z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948C9E9221F4482292AEA7355DE23444</vt:lpwstr>
  </property>
</Properties>
</file>