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华文仿宋" w:hAnsi="华文仿宋" w:eastAsia="华文仿宋"/>
          <w:sz w:val="60"/>
          <w:szCs w:val="60"/>
        </w:rPr>
      </w:pPr>
    </w:p>
    <w:p>
      <w:pPr>
        <w:pStyle w:val="9"/>
        <w:rPr>
          <w:rFonts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60"/>
          <w:szCs w:val="60"/>
        </w:rPr>
      </w:pPr>
      <w:r>
        <w:rPr>
          <w:rFonts w:hint="eastAsia" w:ascii="宋体" w:hAnsi="宋体" w:eastAsia="宋体" w:cs="宋体"/>
          <w:sz w:val="60"/>
          <w:szCs w:val="60"/>
        </w:rPr>
        <w:t>互联网舆情监测服务项目</w:t>
      </w:r>
    </w:p>
    <w:p>
      <w:pPr>
        <w:pStyle w:val="19"/>
        <w:spacing w:line="312" w:lineRule="atLeast"/>
        <w:outlineLvl w:val="0"/>
        <w:rPr>
          <w:rFonts w:ascii="宋体" w:hAnsi="宋体" w:cs="宋体"/>
          <w:sz w:val="60"/>
          <w:szCs w:val="60"/>
        </w:rPr>
      </w:pPr>
    </w:p>
    <w:p>
      <w:pPr>
        <w:pStyle w:val="19"/>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遴选编号：2022-ETLXXB-00</w:t>
      </w:r>
      <w:r>
        <w:rPr>
          <w:rFonts w:hint="eastAsia" w:ascii="宋体" w:hAnsi="宋体" w:cs="宋体"/>
          <w:b/>
          <w:sz w:val="36"/>
          <w:szCs w:val="20"/>
          <w:lang w:val="en-US" w:eastAsia="zh-CN"/>
        </w:rPr>
        <w:t>6</w:t>
      </w:r>
    </w:p>
    <w:p>
      <w:pPr>
        <w:pStyle w:val="9"/>
        <w:rPr>
          <w:rFonts w:ascii="宋体" w:hAnsi="宋体" w:eastAsia="宋体" w:cs="宋体"/>
          <w:sz w:val="36"/>
        </w:rPr>
      </w:pPr>
    </w:p>
    <w:p>
      <w:pPr>
        <w:pStyle w:val="9"/>
        <w:rPr>
          <w:rFonts w:ascii="宋体" w:hAnsi="宋体" w:eastAsia="宋体" w:cs="宋体"/>
          <w:sz w:val="36"/>
        </w:rPr>
      </w:pPr>
      <w:r>
        <w:rPr>
          <w:rFonts w:hint="eastAsia" w:ascii="宋体" w:hAnsi="宋体" w:eastAsia="宋体" w:cs="宋体"/>
          <w:sz w:val="36"/>
        </w:rPr>
        <w:t>2022年</w:t>
      </w:r>
      <w:r>
        <w:rPr>
          <w:rFonts w:hint="eastAsia" w:ascii="宋体" w:hAnsi="宋体" w:eastAsia="宋体" w:cs="宋体"/>
          <w:sz w:val="36"/>
          <w:lang w:val="en-US" w:eastAsia="zh-CN"/>
        </w:rPr>
        <w:t>07</w:t>
      </w:r>
      <w:r>
        <w:rPr>
          <w:rFonts w:hint="eastAsia" w:ascii="宋体" w:hAnsi="宋体" w:eastAsia="宋体" w:cs="宋体"/>
          <w:sz w:val="36"/>
        </w:rPr>
        <w:t>月</w:t>
      </w:r>
      <w:r>
        <w:rPr>
          <w:rFonts w:hint="eastAsia" w:ascii="宋体" w:hAnsi="宋体" w:eastAsia="宋体" w:cs="宋体"/>
          <w:sz w:val="36"/>
          <w:lang w:val="en-US" w:eastAsia="zh-CN"/>
        </w:rPr>
        <w:t>21</w:t>
      </w:r>
      <w:r>
        <w:rPr>
          <w:rFonts w:hint="eastAsia" w:ascii="宋体" w:hAnsi="宋体" w:eastAsia="宋体" w:cs="宋体"/>
          <w:sz w:val="36"/>
        </w:rPr>
        <w:t>日</w:t>
      </w:r>
    </w:p>
    <w:p>
      <w:pPr>
        <w:pStyle w:val="9"/>
        <w:rPr>
          <w:rFonts w:ascii="宋体" w:hAnsi="宋体" w:eastAsia="宋体" w:cs="宋体"/>
          <w:sz w:val="36"/>
        </w:rPr>
      </w:pPr>
    </w:p>
    <w:p>
      <w:pPr>
        <w:pStyle w:val="9"/>
        <w:rPr>
          <w:rFonts w:ascii="宋体" w:hAnsi="宋体" w:eastAsia="宋体" w:cs="宋体"/>
          <w:sz w:val="36"/>
        </w:rPr>
      </w:pPr>
    </w:p>
    <w:p>
      <w:pPr>
        <w:pStyle w:val="9"/>
        <w:rPr>
          <w:rFonts w:ascii="宋体" w:hAnsi="宋体" w:eastAsia="宋体" w:cs="宋体"/>
          <w:sz w:val="36"/>
        </w:rPr>
      </w:pPr>
    </w:p>
    <w:p>
      <w:pPr>
        <w:pStyle w:val="9"/>
        <w:jc w:val="both"/>
        <w:rPr>
          <w:rFonts w:ascii="宋体" w:hAnsi="宋体" w:eastAsia="宋体" w:cs="宋体"/>
          <w:sz w:val="36"/>
        </w:rPr>
      </w:pPr>
    </w:p>
    <w:p>
      <w:pPr>
        <w:pStyle w:val="20"/>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eastAsia="zh-CN"/>
        </w:rPr>
      </w:pPr>
      <w:r>
        <w:rPr>
          <w:rFonts w:hint="eastAsia" w:ascii="宋体" w:hAnsi="宋体" w:cs="宋体"/>
          <w:sz w:val="24"/>
        </w:rPr>
        <w:t>遴选编号：2022-ETLXXB-00</w:t>
      </w:r>
      <w:r>
        <w:rPr>
          <w:rFonts w:hint="eastAsia" w:ascii="宋体" w:hAnsi="宋体" w:cs="宋体"/>
          <w:sz w:val="24"/>
          <w:lang w:val="en-US" w:eastAsia="zh-CN"/>
        </w:rPr>
        <w:t>6</w:t>
      </w:r>
    </w:p>
    <w:p>
      <w:pPr>
        <w:pStyle w:val="21"/>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根据医院有关规定，经院主管部门批准，我院拟对互联网舆情监测服务项目现以院内遴选采购的方式就下列所提供的货物和相关服务进行采购。</w:t>
      </w:r>
    </w:p>
    <w:p>
      <w:pPr>
        <w:pStyle w:val="21"/>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3"/>
        <w:tblW w:w="8357" w:type="dxa"/>
        <w:tblInd w:w="777" w:type="dxa"/>
        <w:tblLayout w:type="autofit"/>
        <w:tblCellMar>
          <w:top w:w="0" w:type="dxa"/>
          <w:left w:w="108" w:type="dxa"/>
          <w:bottom w:w="0" w:type="dxa"/>
          <w:right w:w="108" w:type="dxa"/>
        </w:tblCellMar>
      </w:tblPr>
      <w:tblGrid>
        <w:gridCol w:w="1153"/>
        <w:gridCol w:w="3622"/>
        <w:gridCol w:w="1197"/>
        <w:gridCol w:w="2385"/>
      </w:tblGrid>
      <w:tr>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eastAsia="宋体" w:cs="宋体"/>
                <w:sz w:val="24"/>
                <w:szCs w:val="24"/>
              </w:rPr>
              <w:t>互联网舆情监测服务</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lang w:val="en-US" w:eastAsia="zh-CN"/>
              </w:rPr>
              <w:t>100000.00</w:t>
            </w:r>
          </w:p>
        </w:tc>
      </w:tr>
    </w:tbl>
    <w:p>
      <w:pPr>
        <w:pStyle w:val="21"/>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1"/>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1"/>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1"/>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1"/>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1"/>
        <w:numPr>
          <w:ilvl w:val="0"/>
          <w:numId w:val="1"/>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21"/>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lang w:val="en-US" w:eastAsia="zh-CN"/>
        </w:rPr>
        <w:t>07</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21</w:t>
      </w:r>
      <w:r>
        <w:rPr>
          <w:rFonts w:hint="eastAsia" w:ascii="宋体" w:hAnsi="宋体" w:eastAsia="宋体" w:cs="宋体"/>
          <w:b/>
          <w:sz w:val="24"/>
          <w:szCs w:val="24"/>
          <w:highlight w:val="none"/>
        </w:rPr>
        <w:t>日</w:t>
      </w:r>
      <w:r>
        <w:rPr>
          <w:rFonts w:hint="eastAsia" w:ascii="宋体" w:hAnsi="宋体" w:eastAsia="宋体" w:cs="宋体"/>
          <w:b/>
          <w:sz w:val="24"/>
          <w:szCs w:val="24"/>
        </w:rPr>
        <w:t>起至2022年</w:t>
      </w:r>
      <w:r>
        <w:rPr>
          <w:rFonts w:hint="eastAsia" w:ascii="宋体" w:hAnsi="宋体" w:eastAsia="宋体" w:cs="宋体"/>
          <w:b/>
          <w:sz w:val="24"/>
          <w:szCs w:val="24"/>
          <w:lang w:val="en-US" w:eastAsia="zh-CN"/>
        </w:rPr>
        <w:t>07</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28</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1"/>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年1月1日以来投标人承接的同类项目案例的用户名单，并提供联系人及联系方式（附合同摘要）（详见遴选文件中附件4）；</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7"/>
          <w:rFonts w:ascii="宋体"/>
          <w:szCs w:val="21"/>
          <w:highlight w:val="none"/>
        </w:rPr>
        <w:t>liyi@shchildren.com.cn</w:t>
      </w:r>
      <w:r>
        <w:rPr>
          <w:rStyle w:val="17"/>
          <w:rFonts w:ascii="宋体"/>
          <w:szCs w:val="21"/>
          <w:highlight w:val="none"/>
        </w:rPr>
        <w:fldChar w:fldCharType="end"/>
      </w:r>
      <w:r>
        <w:rPr>
          <w:rFonts w:hint="eastAsia" w:ascii="宋体" w:hAnsi="宋体" w:eastAsia="宋体" w:cs="宋体"/>
          <w:sz w:val="24"/>
          <w:szCs w:val="24"/>
          <w:highlight w:val="none"/>
        </w:rPr>
        <w:t>）。</w:t>
      </w:r>
    </w:p>
    <w:p>
      <w:pPr>
        <w:pStyle w:val="21"/>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1"/>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1"/>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7"/>
          <w:rFonts w:ascii="宋体"/>
          <w:szCs w:val="21"/>
        </w:rPr>
        <w:t>liyi@shchildren.com.cn</w:t>
      </w:r>
      <w:r>
        <w:rPr>
          <w:rFonts w:ascii="宋体"/>
          <w:szCs w:val="21"/>
        </w:rPr>
        <w:fldChar w:fldCharType="end"/>
      </w:r>
    </w:p>
    <w:p>
      <w:pPr>
        <w:pStyle w:val="21"/>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shd w:val="clear" w:color="auto" w:fill="auto"/>
          <w:lang w:val="en-US" w:eastAsia="zh-CN" w:bidi="ar-SA"/>
        </w:rPr>
      </w:pPr>
      <w:r>
        <w:rPr>
          <w:rFonts w:hint="eastAsia"/>
          <w:shd w:val="clear" w:color="auto" w:fill="auto"/>
          <w:lang w:val="en-US" w:eastAsia="zh-CN"/>
        </w:rPr>
        <w:t>根据疫情防控形势变化和医院疫情防控要求，取消近期遴选项目的现场开标，</w:t>
      </w:r>
      <w:r>
        <w:rPr>
          <w:rFonts w:hint="eastAsia"/>
          <w:b w:val="0"/>
          <w:bCs w:val="0"/>
          <w:color w:val="FF0000"/>
          <w:u w:val="none"/>
          <w:shd w:val="clear" w:color="auto" w:fill="auto"/>
          <w:lang w:val="en-US" w:eastAsia="zh-CN"/>
        </w:rPr>
        <w:t>欲参与遴选的公司请务必于截止时间前点击如下链接完成遴选报名表，未填写报名的公司视为投标无效。</w:t>
      </w:r>
      <w:r>
        <w:rPr>
          <w:rFonts w:hint="eastAsia" w:ascii="宋体" w:hAnsi="宋体" w:eastAsia="宋体" w:cs="宋体"/>
          <w:kern w:val="2"/>
          <w:sz w:val="24"/>
          <w:szCs w:val="24"/>
          <w:highlight w:val="none"/>
          <w:u w:val="single"/>
          <w:shd w:val="clear" w:color="auto" w:fill="auto"/>
          <w:lang w:val="en-US" w:eastAsia="zh-CN" w:bidi="ar-SA"/>
        </w:rPr>
        <w:fldChar w:fldCharType="begin"/>
      </w:r>
      <w:r>
        <w:rPr>
          <w:rFonts w:hint="eastAsia" w:ascii="宋体" w:hAnsi="宋体" w:eastAsia="宋体" w:cs="宋体"/>
          <w:kern w:val="2"/>
          <w:sz w:val="24"/>
          <w:szCs w:val="24"/>
          <w:highlight w:val="none"/>
          <w:u w:val="single"/>
          <w:shd w:val="clear" w:color="auto" w:fill="auto"/>
          <w:lang w:val="en-US" w:eastAsia="zh-CN" w:bidi="ar-SA"/>
        </w:rPr>
        <w:instrText xml:space="preserve"> HYPERLINK "https://www.wjx.top/vj/tvfyMRp.aspx" </w:instrText>
      </w:r>
      <w:r>
        <w:rPr>
          <w:rFonts w:hint="eastAsia" w:ascii="宋体" w:hAnsi="宋体" w:eastAsia="宋体" w:cs="宋体"/>
          <w:kern w:val="2"/>
          <w:sz w:val="24"/>
          <w:szCs w:val="24"/>
          <w:highlight w:val="none"/>
          <w:u w:val="single"/>
          <w:shd w:val="clear" w:color="auto" w:fill="auto"/>
          <w:lang w:val="en-US" w:eastAsia="zh-CN" w:bidi="ar-SA"/>
        </w:rPr>
        <w:fldChar w:fldCharType="separate"/>
      </w:r>
      <w:r>
        <w:rPr>
          <w:rStyle w:val="16"/>
          <w:rFonts w:hint="eastAsia" w:ascii="宋体" w:hAnsi="宋体" w:eastAsia="宋体" w:cs="宋体"/>
          <w:kern w:val="2"/>
          <w:sz w:val="24"/>
          <w:szCs w:val="24"/>
          <w:highlight w:val="none"/>
          <w:shd w:val="clear" w:color="auto" w:fill="auto"/>
          <w:lang w:val="en-US" w:eastAsia="zh-CN" w:bidi="ar-SA"/>
        </w:rPr>
        <w:t>https://www.wjx.top/vj/tvfyMRp.aspx</w:t>
      </w:r>
      <w:r>
        <w:rPr>
          <w:rFonts w:hint="eastAsia" w:ascii="宋体" w:hAnsi="宋体" w:eastAsia="宋体" w:cs="宋体"/>
          <w:kern w:val="2"/>
          <w:sz w:val="24"/>
          <w:szCs w:val="24"/>
          <w:highlight w:val="none"/>
          <w:u w:val="single"/>
          <w:shd w:val="clear" w:color="auto" w:fill="auto"/>
          <w:lang w:val="en-US" w:eastAsia="zh-CN" w:bidi="ar-SA"/>
        </w:rPr>
        <w:fldChar w:fldCharType="end"/>
      </w:r>
    </w:p>
    <w:p>
      <w:pPr>
        <w:pStyle w:val="1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所有遴选响应文件务必须</w:t>
      </w:r>
      <w:r>
        <w:rPr>
          <w:rFonts w:hint="eastAsia" w:ascii="宋体" w:hAnsi="宋体" w:eastAsia="宋体" w:cs="宋体"/>
          <w:color w:val="FF0000"/>
          <w:kern w:val="2"/>
          <w:sz w:val="24"/>
          <w:szCs w:val="24"/>
          <w:shd w:val="clear" w:color="auto" w:fill="auto"/>
          <w:lang w:val="en-US" w:eastAsia="zh-CN" w:bidi="ar-SA"/>
        </w:rPr>
        <w:t>排版胶装并按要求以档案袋密封</w:t>
      </w:r>
      <w:r>
        <w:rPr>
          <w:rFonts w:hint="eastAsia" w:ascii="宋体" w:hAnsi="宋体" w:eastAsia="宋体" w:cs="宋体"/>
          <w:kern w:val="2"/>
          <w:sz w:val="24"/>
          <w:szCs w:val="24"/>
          <w:shd w:val="clear" w:color="auto" w:fill="auto"/>
          <w:lang w:val="en-US" w:eastAsia="zh-CN" w:bidi="ar-SA"/>
        </w:rPr>
        <w:t>后于截止时间</w:t>
      </w:r>
      <w:r>
        <w:rPr>
          <w:rFonts w:hint="eastAsia" w:ascii="宋体" w:hAnsi="宋体" w:eastAsia="宋体" w:cs="宋体"/>
          <w:b w:val="0"/>
          <w:bCs w:val="0"/>
          <w:color w:val="auto"/>
          <w:kern w:val="2"/>
          <w:sz w:val="24"/>
          <w:szCs w:val="24"/>
          <w:u w:val="single"/>
          <w:shd w:val="clear" w:color="auto" w:fill="auto"/>
          <w:lang w:val="en-US" w:eastAsia="zh-CN" w:bidi="ar-SA"/>
        </w:rPr>
        <w:t>2022年</w:t>
      </w:r>
      <w:r>
        <w:rPr>
          <w:rFonts w:hint="eastAsia" w:cs="宋体"/>
          <w:b w:val="0"/>
          <w:bCs w:val="0"/>
          <w:color w:val="auto"/>
          <w:kern w:val="2"/>
          <w:sz w:val="24"/>
          <w:szCs w:val="24"/>
          <w:u w:val="single"/>
          <w:shd w:val="clear" w:color="auto" w:fill="auto"/>
          <w:lang w:val="en-US" w:eastAsia="zh-CN" w:bidi="ar-SA"/>
        </w:rPr>
        <w:t>07</w:t>
      </w:r>
      <w:r>
        <w:rPr>
          <w:rFonts w:hint="eastAsia" w:ascii="宋体" w:hAnsi="宋体" w:eastAsia="宋体" w:cs="宋体"/>
          <w:b w:val="0"/>
          <w:bCs w:val="0"/>
          <w:color w:val="auto"/>
          <w:kern w:val="2"/>
          <w:sz w:val="24"/>
          <w:szCs w:val="24"/>
          <w:u w:val="single"/>
          <w:shd w:val="clear" w:color="auto" w:fill="auto"/>
          <w:lang w:val="en-US" w:eastAsia="zh-CN" w:bidi="ar-SA"/>
        </w:rPr>
        <w:t>月</w:t>
      </w:r>
      <w:r>
        <w:rPr>
          <w:rFonts w:hint="eastAsia" w:cs="宋体"/>
          <w:b w:val="0"/>
          <w:bCs w:val="0"/>
          <w:color w:val="auto"/>
          <w:kern w:val="2"/>
          <w:sz w:val="24"/>
          <w:szCs w:val="24"/>
          <w:u w:val="single"/>
          <w:shd w:val="clear" w:color="auto" w:fill="auto"/>
          <w:lang w:val="en-US" w:eastAsia="zh-CN" w:bidi="ar-SA"/>
        </w:rPr>
        <w:t>28</w:t>
      </w:r>
      <w:r>
        <w:rPr>
          <w:rFonts w:hint="eastAsia" w:ascii="宋体" w:hAnsi="宋体" w:eastAsia="宋体" w:cs="宋体"/>
          <w:b w:val="0"/>
          <w:bCs w:val="0"/>
          <w:color w:val="auto"/>
          <w:kern w:val="2"/>
          <w:sz w:val="24"/>
          <w:szCs w:val="24"/>
          <w:u w:val="single"/>
          <w:shd w:val="clear" w:color="auto" w:fill="auto"/>
          <w:lang w:val="en-US" w:eastAsia="zh-CN" w:bidi="ar-SA"/>
        </w:rPr>
        <w:t>日北京时间1</w:t>
      </w:r>
      <w:r>
        <w:rPr>
          <w:rFonts w:hint="eastAsia" w:cs="宋体"/>
          <w:b w:val="0"/>
          <w:bCs w:val="0"/>
          <w:color w:val="auto"/>
          <w:kern w:val="2"/>
          <w:sz w:val="24"/>
          <w:szCs w:val="24"/>
          <w:u w:val="single"/>
          <w:shd w:val="clear" w:color="auto" w:fill="auto"/>
          <w:lang w:val="en-US" w:eastAsia="zh-CN" w:bidi="ar-SA"/>
        </w:rPr>
        <w:t>7</w:t>
      </w:r>
      <w:r>
        <w:rPr>
          <w:rFonts w:hint="eastAsia" w:ascii="宋体" w:hAnsi="宋体" w:eastAsia="宋体" w:cs="宋体"/>
          <w:b w:val="0"/>
          <w:bCs w:val="0"/>
          <w:color w:val="auto"/>
          <w:kern w:val="2"/>
          <w:sz w:val="24"/>
          <w:szCs w:val="24"/>
          <w:u w:val="single"/>
          <w:shd w:val="clear" w:color="auto" w:fill="auto"/>
          <w:lang w:val="en-US" w:eastAsia="zh-CN" w:bidi="ar-SA"/>
        </w:rPr>
        <w:t>：</w:t>
      </w:r>
      <w:r>
        <w:rPr>
          <w:rFonts w:hint="eastAsia" w:cs="宋体"/>
          <w:b w:val="0"/>
          <w:bCs w:val="0"/>
          <w:color w:val="auto"/>
          <w:kern w:val="2"/>
          <w:sz w:val="24"/>
          <w:szCs w:val="24"/>
          <w:u w:val="single"/>
          <w:shd w:val="clear" w:color="auto" w:fill="auto"/>
          <w:lang w:val="en-US" w:eastAsia="zh-CN" w:bidi="ar-SA"/>
        </w:rPr>
        <w:t>0</w:t>
      </w:r>
      <w:r>
        <w:rPr>
          <w:rFonts w:hint="eastAsia" w:ascii="宋体" w:hAnsi="宋体" w:eastAsia="宋体" w:cs="宋体"/>
          <w:b w:val="0"/>
          <w:bCs w:val="0"/>
          <w:color w:val="auto"/>
          <w:kern w:val="2"/>
          <w:sz w:val="24"/>
          <w:szCs w:val="24"/>
          <w:u w:val="singl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b w:val="0"/>
          <w:bCs w:val="0"/>
          <w:kern w:val="2"/>
          <w:sz w:val="24"/>
          <w:szCs w:val="24"/>
          <w:u w:val="none"/>
          <w:shd w:val="clear" w:color="auto" w:fill="auto"/>
          <w:lang w:val="en-US" w:eastAsia="zh-CN" w:bidi="ar-SA"/>
        </w:rPr>
        <w:t>上海市泸定路355号科教楼</w:t>
      </w:r>
      <w:r>
        <w:rPr>
          <w:rFonts w:hint="eastAsia" w:cs="宋体"/>
          <w:b w:val="0"/>
          <w:bCs w:val="0"/>
          <w:kern w:val="2"/>
          <w:sz w:val="24"/>
          <w:szCs w:val="24"/>
          <w:u w:val="none"/>
          <w:shd w:val="clear" w:color="auto" w:fill="auto"/>
          <w:lang w:val="en-US" w:eastAsia="zh-CN" w:bidi="ar-SA"/>
        </w:rPr>
        <w:t>5</w:t>
      </w:r>
      <w:r>
        <w:rPr>
          <w:rFonts w:hint="eastAsia" w:ascii="宋体" w:hAnsi="宋体" w:eastAsia="宋体" w:cs="宋体"/>
          <w:b w:val="0"/>
          <w:bCs w:val="0"/>
          <w:kern w:val="2"/>
          <w:sz w:val="24"/>
          <w:szCs w:val="24"/>
          <w:u w:val="none"/>
          <w:shd w:val="clear" w:color="auto" w:fill="auto"/>
          <w:lang w:val="en-US" w:eastAsia="zh-CN" w:bidi="ar-SA"/>
        </w:rPr>
        <w:t>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p>
    <w:p>
      <w:pPr>
        <w:pStyle w:val="21"/>
        <w:numPr>
          <w:ilvl w:val="0"/>
          <w:numId w:val="1"/>
        </w:numPr>
        <w:autoSpaceDE w:val="0"/>
        <w:autoSpaceDN w:val="0"/>
        <w:spacing w:line="360" w:lineRule="exact"/>
        <w:jc w:val="left"/>
        <w:rPr>
          <w:rFonts w:ascii="宋体" w:hAnsi="宋体" w:eastAsia="宋体" w:cs="宋体"/>
          <w:b/>
          <w:sz w:val="24"/>
          <w:szCs w:val="24"/>
        </w:rPr>
      </w:pPr>
      <w:bookmarkStart w:id="10" w:name="_GoBack"/>
      <w:bookmarkEnd w:id="10"/>
      <w:r>
        <w:rPr>
          <w:rFonts w:hint="eastAsia" w:ascii="宋体" w:hAnsi="宋体" w:eastAsia="宋体" w:cs="宋体"/>
          <w:b/>
          <w:sz w:val="24"/>
          <w:szCs w:val="24"/>
        </w:rPr>
        <w:t>评审原则及方法</w:t>
      </w:r>
    </w:p>
    <w:p>
      <w:pPr>
        <w:pStyle w:val="21"/>
        <w:numPr>
          <w:ilvl w:val="0"/>
          <w:numId w:val="5"/>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21"/>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21"/>
        <w:numPr>
          <w:ilvl w:val="0"/>
          <w:numId w:val="6"/>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3"/>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pPr>
              <w:spacing w:line="360" w:lineRule="auto"/>
              <w:jc w:val="left"/>
              <w:rPr>
                <w:rFonts w:ascii="宋体" w:hAnsi="宋体" w:cs="宋体"/>
                <w:b/>
                <w:spacing w:val="8"/>
                <w:kern w:val="0"/>
                <w:sz w:val="24"/>
              </w:rPr>
            </w:pPr>
            <w:r>
              <w:rPr>
                <w:rFonts w:hint="eastAsia" w:ascii="宋体" w:hAnsi="宋体"/>
                <w:sz w:val="24"/>
              </w:rPr>
              <w:t>50分</w:t>
            </w:r>
          </w:p>
        </w:tc>
        <w:tc>
          <w:tcPr>
            <w:tcW w:w="3434" w:type="pct"/>
            <w:vAlign w:val="center"/>
          </w:tcPr>
          <w:p>
            <w:pPr>
              <w:spacing w:line="360" w:lineRule="auto"/>
              <w:jc w:val="left"/>
              <w:rPr>
                <w:rFonts w:ascii="宋体" w:hAnsi="宋体"/>
                <w:sz w:val="24"/>
              </w:rPr>
            </w:pPr>
            <w:r>
              <w:rPr>
                <w:rFonts w:hint="eastAsia" w:ascii="宋体" w:hAnsi="宋体"/>
                <w:sz w:val="24"/>
              </w:rPr>
              <w:t>N＝50*所有投标中的有效最低投标报价/合格投标人的投标报价。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pPr>
              <w:spacing w:line="360" w:lineRule="auto"/>
              <w:jc w:val="left"/>
              <w:rPr>
                <w:rFonts w:ascii="宋体" w:hAnsi="宋体"/>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1、综合实力</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2、类似项目经验</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rPr>
                <w:rFonts w:ascii="宋体" w:hAnsi="宋体"/>
                <w:sz w:val="24"/>
              </w:rPr>
            </w:pPr>
            <w:r>
              <w:rPr>
                <w:rFonts w:hint="eastAsia" w:ascii="宋体" w:hAnsi="宋体"/>
                <w:sz w:val="24"/>
              </w:rPr>
              <w:t>投标人自201</w:t>
            </w:r>
            <w:r>
              <w:rPr>
                <w:rFonts w:hint="eastAsia" w:ascii="宋体" w:hAnsi="宋体"/>
                <w:sz w:val="24"/>
                <w:lang w:val="en-US" w:eastAsia="zh-CN"/>
              </w:rPr>
              <w:t>9</w:t>
            </w:r>
            <w:r>
              <w:rPr>
                <w:rFonts w:hint="eastAsia" w:ascii="宋体" w:hAnsi="宋体"/>
                <w:sz w:val="24"/>
              </w:rPr>
              <w:t>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每有1个类似项目合同得1分，本项最高得分为5分。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pPr>
              <w:spacing w:line="360" w:lineRule="auto"/>
              <w:jc w:val="left"/>
              <w:rPr>
                <w:rFonts w:ascii="宋体" w:hAnsi="宋体"/>
                <w:sz w:val="24"/>
              </w:rPr>
            </w:pPr>
            <w:r>
              <w:rPr>
                <w:rFonts w:hint="eastAsia" w:ascii="宋体" w:hAnsi="宋体"/>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ascii="宋体" w:hAnsi="宋体"/>
                <w:sz w:val="24"/>
              </w:rPr>
            </w:pPr>
            <w:r>
              <w:rPr>
                <w:rFonts w:hint="eastAsia" w:ascii="宋体" w:hAnsi="宋体"/>
                <w:sz w:val="24"/>
              </w:rPr>
              <w:t>1、需求响应情况</w:t>
            </w:r>
          </w:p>
        </w:tc>
        <w:tc>
          <w:tcPr>
            <w:tcW w:w="552" w:type="pct"/>
            <w:vAlign w:val="center"/>
          </w:tcPr>
          <w:p>
            <w:pPr>
              <w:spacing w:line="360" w:lineRule="auto"/>
              <w:jc w:val="left"/>
              <w:rPr>
                <w:rFonts w:ascii="宋体" w:hAnsi="宋体"/>
                <w:sz w:val="24"/>
              </w:rPr>
            </w:pPr>
            <w:r>
              <w:rPr>
                <w:rFonts w:hint="eastAsia" w:ascii="宋体" w:hAnsi="宋体"/>
                <w:sz w:val="24"/>
              </w:rPr>
              <w:t>20分</w:t>
            </w:r>
          </w:p>
        </w:tc>
        <w:tc>
          <w:tcPr>
            <w:tcW w:w="3434" w:type="pct"/>
            <w:vAlign w:val="center"/>
          </w:tcPr>
          <w:p>
            <w:pPr>
              <w:widowControl/>
              <w:spacing w:line="360" w:lineRule="auto"/>
              <w:rPr>
                <w:rFonts w:ascii="宋体" w:hAnsi="宋体" w:cs="宋体"/>
                <w:sz w:val="24"/>
              </w:rPr>
            </w:pPr>
            <w:r>
              <w:rPr>
                <w:rFonts w:hint="eastAsia" w:ascii="宋体" w:hAnsi="宋体" w:cs="宋体"/>
                <w:sz w:val="24"/>
              </w:rPr>
              <w:t>在满足招标人主要要求的前提下，比较各投标人对技术要求条款响应情况，并结合投标人对技术要求条款偏离情况进行打分。如有标注“▲”号的技术指标低于或不满足招标文件要求，本项不得分。</w:t>
            </w:r>
          </w:p>
          <w:p>
            <w:pPr>
              <w:widowControl/>
              <w:spacing w:line="360" w:lineRule="auto"/>
              <w:rPr>
                <w:rFonts w:ascii="宋体" w:hAnsi="宋体"/>
                <w:sz w:val="24"/>
              </w:rPr>
            </w:pPr>
            <w:r>
              <w:rPr>
                <w:rFonts w:hint="eastAsia" w:ascii="宋体" w:hAnsi="宋体" w:cs="宋体"/>
                <w:sz w:val="24"/>
              </w:rPr>
              <w:t>最好，得13分-20分（含）；一般，得6分-13分（含）；较差0分（含）-6分（含）。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1"/>
        <w:numPr>
          <w:ilvl w:val="0"/>
          <w:numId w:val="1"/>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项目验收合格后，甲方收到乙方出具的正式、合法、有效等额发票及总金额10%的银行保函作为质保金后三十个工作日，支付乙方合同总金额的10%款项。</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numPr>
          <w:ilvl w:val="0"/>
          <w:numId w:val="8"/>
        </w:numPr>
        <w:rPr>
          <w:rFonts w:ascii="宋体" w:hAnsi="宋体" w:eastAsia="宋体" w:cs="宋体"/>
        </w:rPr>
      </w:pPr>
      <w:r>
        <w:rPr>
          <w:rFonts w:hint="eastAsia" w:ascii="宋体" w:hAnsi="宋体" w:eastAsia="宋体" w:cs="宋体"/>
        </w:rPr>
        <w:t>货物需求一览表及技术规格</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9"/>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互联网舆情监测服务项目</w:t>
      </w:r>
    </w:p>
    <w:p>
      <w:pPr>
        <w:numPr>
          <w:ilvl w:val="0"/>
          <w:numId w:val="9"/>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22"/>
        <w:spacing w:line="360" w:lineRule="auto"/>
        <w:ind w:firstLine="0" w:firstLineChars="0"/>
        <w:rPr>
          <w:rFonts w:ascii="宋体" w:hAnsi="宋体" w:cs="宋体"/>
          <w:sz w:val="24"/>
        </w:rPr>
      </w:pPr>
      <w:r>
        <w:rPr>
          <w:rFonts w:hint="eastAsia" w:ascii="宋体" w:hAnsi="宋体" w:cs="宋体"/>
          <w:b/>
          <w:bCs/>
          <w:sz w:val="24"/>
          <w:szCs w:val="24"/>
        </w:rPr>
        <w:t>三、</w:t>
      </w:r>
      <w:r>
        <w:rPr>
          <w:rFonts w:hint="eastAsia" w:ascii="宋体" w:hAnsi="宋体" w:cs="宋体"/>
          <w:b/>
          <w:bCs/>
          <w:sz w:val="24"/>
          <w:szCs w:val="24"/>
          <w:lang w:val="en-US" w:eastAsia="zh-CN"/>
        </w:rPr>
        <w:t>项目周期</w:t>
      </w:r>
      <w:r>
        <w:rPr>
          <w:rFonts w:hint="eastAsia" w:ascii="宋体" w:hAnsi="宋体" w:cs="宋体"/>
          <w:b/>
          <w:bCs/>
          <w:sz w:val="24"/>
        </w:rPr>
        <w:t>：</w:t>
      </w:r>
      <w:r>
        <w:rPr>
          <w:rFonts w:hint="eastAsia" w:asciiTheme="majorEastAsia" w:hAnsiTheme="majorEastAsia" w:eastAsiaTheme="majorEastAsia"/>
          <w:sz w:val="24"/>
        </w:rPr>
        <w:t>2022.12.1---2023.11.30</w:t>
      </w:r>
    </w:p>
    <w:p>
      <w:pPr>
        <w:spacing w:line="360" w:lineRule="auto"/>
        <w:rPr>
          <w:rFonts w:hint="eastAsia" w:ascii="宋体" w:hAnsi="宋体" w:cs="宋体"/>
          <w:b/>
          <w:sz w:val="24"/>
          <w:lang w:val="en-US" w:eastAsia="zh-CN"/>
        </w:rPr>
      </w:pPr>
      <w:r>
        <w:rPr>
          <w:rFonts w:hint="eastAsia" w:ascii="宋体" w:hAnsi="宋体" w:cs="宋体"/>
          <w:b/>
          <w:sz w:val="24"/>
        </w:rPr>
        <w:t>四、</w:t>
      </w:r>
      <w:r>
        <w:rPr>
          <w:rFonts w:hint="eastAsia" w:ascii="宋体" w:hAnsi="宋体" w:cs="宋体"/>
          <w:b/>
          <w:sz w:val="24"/>
          <w:lang w:val="en-US" w:eastAsia="zh-CN"/>
        </w:rPr>
        <w:t>建设背景</w:t>
      </w:r>
    </w:p>
    <w:p>
      <w:pPr>
        <w:pStyle w:val="25"/>
        <w:spacing w:line="360" w:lineRule="auto"/>
        <w:ind w:left="0" w:leftChars="0" w:firstLine="420" w:firstLineChars="0"/>
        <w:rPr>
          <w:rFonts w:hint="eastAsia" w:asciiTheme="minorEastAsia" w:hAnsiTheme="minorEastAsia" w:eastAsiaTheme="minorEastAsia"/>
          <w:sz w:val="24"/>
        </w:rPr>
      </w:pPr>
      <w:r>
        <w:rPr>
          <w:rFonts w:hint="eastAsia" w:asciiTheme="minorEastAsia" w:hAnsiTheme="minorEastAsia" w:eastAsiaTheme="minorEastAsia"/>
          <w:sz w:val="24"/>
        </w:rPr>
        <w:t>随着互联网的高速发展，公众越来越多地通过网络发表资讯与意见，因此实时对互联网具有媒体传播属性的数据源进行舆情监测能够快速掌握相关舆情信息，为有效控制，处置应对赢得时间。因为互联网用户众多，数据量庞大，简单依赖人力难以及时全美地实现舆情监测工作，因此需要购买相关技术系统服务。拟采购项目监测数据源全面，包括微博，微信公众号，头条号，百家号，网易号，搜狐号，贴吧，知乎，网页新闻等，提供专用的移动端APP进行舆情信息7*</w:t>
      </w:r>
      <w:r>
        <w:rPr>
          <w:rFonts w:asciiTheme="minorEastAsia" w:hAnsiTheme="minorEastAsia" w:eastAsiaTheme="minorEastAsia"/>
          <w:sz w:val="24"/>
        </w:rPr>
        <w:t>24</w:t>
      </w:r>
      <w:r>
        <w:rPr>
          <w:rFonts w:hint="eastAsia" w:asciiTheme="minorEastAsia" w:hAnsiTheme="minorEastAsia" w:eastAsiaTheme="minorEastAsia"/>
          <w:sz w:val="24"/>
        </w:rPr>
        <w:t>小时实时推送，同时随时提供即时日报服务。</w:t>
      </w:r>
    </w:p>
    <w:p>
      <w:pPr>
        <w:pStyle w:val="25"/>
        <w:spacing w:line="360" w:lineRule="auto"/>
        <w:ind w:left="0" w:leftChars="0" w:firstLine="0" w:firstLineChars="0"/>
        <w:rPr>
          <w:rFonts w:asciiTheme="minorEastAsia" w:hAnsiTheme="minorEastAsia" w:eastAsiaTheme="minorEastAsia"/>
          <w:b/>
          <w:bCs w:val="0"/>
          <w:sz w:val="24"/>
        </w:rPr>
      </w:pPr>
      <w:r>
        <w:rPr>
          <w:rFonts w:hint="eastAsia" w:ascii="宋体" w:hAnsi="宋体" w:cs="宋体"/>
          <w:b/>
          <w:bCs w:val="0"/>
          <w:sz w:val="24"/>
          <w:lang w:val="en-US" w:eastAsia="zh-CN"/>
        </w:rPr>
        <w:t>五</w:t>
      </w:r>
      <w:r>
        <w:rPr>
          <w:rFonts w:hint="eastAsia" w:ascii="宋体" w:hAnsi="宋体" w:cs="宋体"/>
          <w:b/>
          <w:bCs w:val="0"/>
          <w:sz w:val="24"/>
        </w:rPr>
        <w:t>、</w:t>
      </w:r>
      <w:r>
        <w:rPr>
          <w:rFonts w:hint="eastAsia" w:asciiTheme="minorEastAsia" w:hAnsiTheme="minorEastAsia" w:eastAsiaTheme="minorEastAsia"/>
          <w:b/>
          <w:bCs w:val="0"/>
          <w:sz w:val="24"/>
        </w:rPr>
        <w:t>具体功能需求</w:t>
      </w:r>
    </w:p>
    <w:p>
      <w:pPr>
        <w:pStyle w:val="22"/>
        <w:spacing w:line="360" w:lineRule="auto"/>
        <w:ind w:firstLine="0" w:firstLineChars="0"/>
        <w:rPr>
          <w:rFonts w:ascii="宋体" w:hAnsi="宋体"/>
          <w:b/>
          <w:sz w:val="24"/>
        </w:rPr>
      </w:pPr>
      <w:r>
        <w:rPr>
          <w:rFonts w:hint="eastAsia" w:ascii="宋体" w:hAnsi="宋体"/>
          <w:b/>
          <w:sz w:val="24"/>
        </w:rPr>
        <w:t>1、监测范围</w:t>
      </w:r>
    </w:p>
    <w:p>
      <w:pPr>
        <w:pStyle w:val="22"/>
        <w:numPr>
          <w:ilvl w:val="1"/>
          <w:numId w:val="10"/>
        </w:numPr>
        <w:spacing w:line="360" w:lineRule="auto"/>
        <w:ind w:left="567" w:leftChars="0" w:firstLineChars="0"/>
        <w:rPr>
          <w:rFonts w:ascii="宋体" w:hAnsi="宋体"/>
          <w:sz w:val="24"/>
        </w:rPr>
      </w:pPr>
      <w:r>
        <w:rPr>
          <w:rFonts w:hint="eastAsia" w:ascii="宋体" w:hAnsi="宋体"/>
          <w:sz w:val="24"/>
        </w:rPr>
        <w:t>支持网站、论坛、贴吧、微信公众号、微博等各类信息源的采集监测；</w:t>
      </w:r>
    </w:p>
    <w:p>
      <w:pPr>
        <w:pStyle w:val="22"/>
        <w:numPr>
          <w:ilvl w:val="1"/>
          <w:numId w:val="10"/>
        </w:numPr>
        <w:spacing w:line="360" w:lineRule="auto"/>
        <w:ind w:left="567" w:leftChars="0" w:firstLineChars="0"/>
        <w:rPr>
          <w:rFonts w:ascii="宋体" w:hAnsi="宋体"/>
          <w:sz w:val="24"/>
        </w:rPr>
      </w:pPr>
      <w:r>
        <w:rPr>
          <w:rFonts w:hint="eastAsia" w:ascii="宋体" w:hAnsi="宋体"/>
          <w:sz w:val="24"/>
        </w:rPr>
        <w:t>支持定向某单个或者多个网站、微博、微信公众号、二级贴吧和二级域名的监测。</w:t>
      </w:r>
    </w:p>
    <w:p>
      <w:pPr>
        <w:pStyle w:val="22"/>
        <w:numPr>
          <w:ilvl w:val="1"/>
          <w:numId w:val="10"/>
        </w:numPr>
        <w:spacing w:line="360" w:lineRule="auto"/>
        <w:ind w:left="567" w:leftChars="0" w:firstLineChars="0"/>
        <w:rPr>
          <w:rFonts w:ascii="宋体" w:hAnsi="宋体"/>
          <w:sz w:val="24"/>
        </w:rPr>
      </w:pPr>
      <w:r>
        <w:rPr>
          <w:rFonts w:hint="eastAsia" w:ascii="宋体" w:hAnsi="宋体"/>
          <w:sz w:val="24"/>
        </w:rPr>
        <w:t>支持全量新浪微博的采集，且轮巡速度＜5分钟/次，即任意用户发送的微博内容需在5分钟之内采集入库。</w:t>
      </w:r>
    </w:p>
    <w:p>
      <w:pPr>
        <w:pStyle w:val="22"/>
        <w:numPr>
          <w:ilvl w:val="0"/>
          <w:numId w:val="11"/>
        </w:numPr>
        <w:spacing w:line="360" w:lineRule="auto"/>
        <w:ind w:firstLineChars="0"/>
        <w:rPr>
          <w:rFonts w:ascii="宋体" w:hAnsi="宋体"/>
          <w:b/>
          <w:sz w:val="24"/>
        </w:rPr>
      </w:pPr>
      <w:r>
        <w:rPr>
          <w:rFonts w:hint="eastAsia" w:ascii="宋体" w:hAnsi="宋体"/>
          <w:b/>
          <w:sz w:val="24"/>
        </w:rPr>
        <w:t>舆情监测展示需求</w:t>
      </w:r>
    </w:p>
    <w:p>
      <w:pPr>
        <w:pStyle w:val="22"/>
        <w:spacing w:line="360" w:lineRule="auto"/>
        <w:ind w:firstLine="0" w:firstLineChars="0"/>
        <w:rPr>
          <w:rFonts w:ascii="宋体" w:hAnsi="宋体"/>
          <w:sz w:val="24"/>
        </w:rPr>
      </w:pPr>
      <w:r>
        <w:rPr>
          <w:rFonts w:hint="eastAsia" w:ascii="宋体" w:hAnsi="宋体"/>
          <w:sz w:val="24"/>
        </w:rPr>
        <w:t>2.1.支持关键词或、与、非等关系组合匹配展示；</w:t>
      </w:r>
    </w:p>
    <w:p>
      <w:pPr>
        <w:pStyle w:val="22"/>
        <w:spacing w:line="360" w:lineRule="auto"/>
        <w:ind w:firstLine="0" w:firstLineChars="0"/>
        <w:rPr>
          <w:rFonts w:ascii="宋体" w:hAnsi="宋体"/>
          <w:sz w:val="24"/>
        </w:rPr>
      </w:pPr>
      <w:r>
        <w:rPr>
          <w:rFonts w:hint="eastAsia" w:ascii="宋体" w:hAnsi="宋体"/>
          <w:sz w:val="24"/>
        </w:rPr>
        <w:t>2.2.支持匹配后的信息基于时间倒序、时间顺序、相似度等维度展示；</w:t>
      </w:r>
    </w:p>
    <w:p>
      <w:pPr>
        <w:pStyle w:val="22"/>
        <w:spacing w:line="360" w:lineRule="auto"/>
        <w:ind w:firstLine="0" w:firstLineChars="0"/>
        <w:rPr>
          <w:rFonts w:ascii="宋体" w:hAnsi="宋体"/>
          <w:sz w:val="24"/>
        </w:rPr>
      </w:pPr>
      <w:r>
        <w:rPr>
          <w:rFonts w:hint="eastAsia" w:ascii="宋体" w:hAnsi="宋体"/>
          <w:sz w:val="24"/>
        </w:rPr>
        <w:t>2.3.支持信息合并，转发与原微博，内容涉及或地域涉及，标题或正文等关键词匹配展示；</w:t>
      </w:r>
    </w:p>
    <w:p>
      <w:pPr>
        <w:pStyle w:val="22"/>
        <w:spacing w:line="360" w:lineRule="auto"/>
        <w:ind w:firstLine="0" w:firstLineChars="0"/>
        <w:rPr>
          <w:rFonts w:ascii="宋体" w:hAnsi="宋体"/>
          <w:sz w:val="24"/>
        </w:rPr>
      </w:pPr>
      <w:r>
        <w:rPr>
          <w:rFonts w:hint="eastAsia" w:ascii="宋体" w:hAnsi="宋体"/>
          <w:sz w:val="24"/>
        </w:rPr>
        <w:t>2.4.系统支持敏感信息研判展示；</w:t>
      </w:r>
    </w:p>
    <w:p>
      <w:pPr>
        <w:pStyle w:val="22"/>
        <w:spacing w:line="360" w:lineRule="auto"/>
        <w:ind w:firstLine="0" w:firstLineChars="0"/>
        <w:rPr>
          <w:rFonts w:ascii="宋体" w:hAnsi="宋体"/>
          <w:sz w:val="24"/>
        </w:rPr>
      </w:pPr>
      <w:r>
        <w:rPr>
          <w:rFonts w:hint="eastAsia" w:ascii="宋体" w:hAnsi="宋体"/>
          <w:sz w:val="24"/>
        </w:rPr>
        <w:t>2.5.支持在线1年内的数据实时查询；</w:t>
      </w:r>
    </w:p>
    <w:p>
      <w:pPr>
        <w:pStyle w:val="22"/>
        <w:spacing w:line="360" w:lineRule="auto"/>
        <w:ind w:firstLine="0" w:firstLineChars="0"/>
        <w:rPr>
          <w:rFonts w:ascii="宋体" w:hAnsi="宋体"/>
          <w:sz w:val="24"/>
        </w:rPr>
      </w:pPr>
      <w:r>
        <w:rPr>
          <w:rFonts w:hint="eastAsia" w:ascii="宋体" w:hAnsi="宋体"/>
          <w:sz w:val="24"/>
        </w:rPr>
        <w:t>2.6.支持监测方案的定向来源的自定义设置监测；</w:t>
      </w:r>
    </w:p>
    <w:p>
      <w:pPr>
        <w:pStyle w:val="22"/>
        <w:spacing w:line="360" w:lineRule="auto"/>
        <w:ind w:firstLine="0" w:firstLineChars="0"/>
        <w:rPr>
          <w:rFonts w:ascii="宋体" w:hAnsi="宋体"/>
          <w:sz w:val="24"/>
        </w:rPr>
      </w:pPr>
      <w:r>
        <w:rPr>
          <w:rFonts w:hint="eastAsia" w:ascii="宋体" w:hAnsi="宋体"/>
          <w:sz w:val="24"/>
        </w:rPr>
        <w:t>2.7.支持对监测范围的自定义偏好设置，可自定义排除监测来源网站。</w:t>
      </w:r>
    </w:p>
    <w:p>
      <w:pPr>
        <w:pStyle w:val="22"/>
        <w:spacing w:line="360" w:lineRule="auto"/>
        <w:ind w:firstLine="0" w:firstLineChars="0"/>
        <w:rPr>
          <w:rFonts w:ascii="宋体" w:hAnsi="宋体"/>
          <w:b/>
          <w:sz w:val="24"/>
        </w:rPr>
      </w:pPr>
      <w:r>
        <w:rPr>
          <w:rFonts w:hint="eastAsia" w:ascii="宋体" w:hAnsi="宋体"/>
          <w:b/>
          <w:sz w:val="24"/>
        </w:rPr>
        <w:t>3、全网分析功能需求</w:t>
      </w:r>
    </w:p>
    <w:p>
      <w:pPr>
        <w:pStyle w:val="22"/>
        <w:spacing w:line="360" w:lineRule="auto"/>
        <w:ind w:firstLine="0" w:firstLineChars="0"/>
        <w:rPr>
          <w:rFonts w:ascii="宋体" w:hAnsi="宋体"/>
          <w:sz w:val="24"/>
        </w:rPr>
      </w:pPr>
      <w:r>
        <w:rPr>
          <w:rFonts w:hint="eastAsia" w:ascii="宋体" w:hAnsi="宋体"/>
          <w:sz w:val="24"/>
        </w:rPr>
        <w:t>3.1.支持通过设置关键词自动生成全网分析报告，包含舆情事件概述、事件溯源、走势分析、媒体分布、数据类型统计、境内外分布、情感分析、媒体活跃度、地域分布、关键词云、热门信息、热点网民、传播途径、相关词、网民观点聚类分析等多种分析结果，生成全网分析报告支持；</w:t>
      </w:r>
    </w:p>
    <w:p>
      <w:pPr>
        <w:pStyle w:val="22"/>
        <w:spacing w:line="360" w:lineRule="auto"/>
        <w:ind w:firstLine="0" w:firstLineChars="0"/>
        <w:rPr>
          <w:rFonts w:ascii="宋体" w:hAnsi="宋体"/>
          <w:sz w:val="24"/>
        </w:rPr>
      </w:pPr>
      <w:r>
        <w:rPr>
          <w:rFonts w:hint="eastAsia" w:ascii="宋体" w:hAnsi="宋体"/>
          <w:sz w:val="24"/>
        </w:rPr>
        <w:t>3.2.支持生成的报告支持word，pdf格式下载。</w:t>
      </w:r>
    </w:p>
    <w:p>
      <w:pPr>
        <w:pStyle w:val="22"/>
        <w:spacing w:line="360" w:lineRule="auto"/>
        <w:ind w:firstLine="0" w:firstLineChars="0"/>
        <w:rPr>
          <w:rFonts w:ascii="宋体" w:hAnsi="宋体"/>
          <w:b/>
          <w:sz w:val="24"/>
        </w:rPr>
      </w:pPr>
      <w:r>
        <w:rPr>
          <w:rFonts w:hint="eastAsia" w:ascii="宋体" w:hAnsi="宋体"/>
          <w:b/>
          <w:sz w:val="24"/>
        </w:rPr>
        <w:t>4、预警功能需求</w:t>
      </w:r>
    </w:p>
    <w:p>
      <w:pPr>
        <w:pStyle w:val="22"/>
        <w:spacing w:line="360" w:lineRule="auto"/>
        <w:ind w:firstLine="0" w:firstLineChars="0"/>
        <w:rPr>
          <w:rFonts w:ascii="宋体" w:hAnsi="宋体"/>
          <w:sz w:val="24"/>
        </w:rPr>
      </w:pPr>
      <w:r>
        <w:rPr>
          <w:rFonts w:hint="eastAsia" w:ascii="宋体" w:hAnsi="宋体"/>
          <w:sz w:val="24"/>
        </w:rPr>
        <w:t>4.1.系统支持邮件、客户端、短信、pc弹窗、微信预警方式；</w:t>
      </w:r>
    </w:p>
    <w:p>
      <w:pPr>
        <w:pStyle w:val="22"/>
        <w:spacing w:line="360" w:lineRule="auto"/>
        <w:ind w:firstLine="0" w:firstLineChars="0"/>
        <w:rPr>
          <w:rFonts w:ascii="宋体" w:hAnsi="宋体"/>
          <w:sz w:val="24"/>
        </w:rPr>
      </w:pPr>
      <w:r>
        <w:rPr>
          <w:rFonts w:hint="eastAsia" w:ascii="宋体" w:hAnsi="宋体"/>
          <w:sz w:val="24"/>
        </w:rPr>
        <w:t>4.2.支持预警信息的时间、预警间隔、预警来源类型、是否敏感(正负面)等；</w:t>
      </w:r>
    </w:p>
    <w:p>
      <w:pPr>
        <w:pStyle w:val="22"/>
        <w:spacing w:line="360" w:lineRule="auto"/>
        <w:ind w:firstLine="0" w:firstLineChars="0"/>
        <w:rPr>
          <w:rFonts w:ascii="宋体" w:hAnsi="宋体"/>
          <w:sz w:val="24"/>
        </w:rPr>
      </w:pPr>
      <w:r>
        <w:rPr>
          <w:rFonts w:hint="eastAsia" w:ascii="宋体" w:hAnsi="宋体"/>
          <w:sz w:val="24"/>
        </w:rPr>
        <w:t>4.3.支持自定义设置。</w:t>
      </w:r>
    </w:p>
    <w:p>
      <w:pPr>
        <w:pStyle w:val="22"/>
        <w:spacing w:line="360" w:lineRule="auto"/>
        <w:ind w:firstLine="0" w:firstLineChars="0"/>
        <w:rPr>
          <w:rFonts w:ascii="宋体" w:hAnsi="宋体"/>
          <w:b/>
          <w:sz w:val="24"/>
        </w:rPr>
      </w:pPr>
      <w:r>
        <w:rPr>
          <w:rFonts w:hint="eastAsia" w:ascii="宋体" w:hAnsi="宋体"/>
          <w:b/>
          <w:sz w:val="24"/>
        </w:rPr>
        <w:t>5、系统报告需求</w:t>
      </w:r>
    </w:p>
    <w:p>
      <w:pPr>
        <w:pStyle w:val="22"/>
        <w:spacing w:line="360" w:lineRule="auto"/>
        <w:ind w:firstLine="0" w:firstLineChars="0"/>
        <w:rPr>
          <w:rFonts w:ascii="宋体" w:hAnsi="宋体"/>
          <w:sz w:val="24"/>
        </w:rPr>
      </w:pPr>
      <w:r>
        <w:rPr>
          <w:rFonts w:hint="eastAsia" w:ascii="宋体" w:hAnsi="宋体"/>
          <w:sz w:val="24"/>
        </w:rPr>
        <w:t>5.1.具有制作简报功能，支持简报自定义生成、下载；</w:t>
      </w:r>
    </w:p>
    <w:p>
      <w:pPr>
        <w:pStyle w:val="22"/>
        <w:spacing w:line="360" w:lineRule="auto"/>
        <w:ind w:firstLine="0" w:firstLineChars="0"/>
        <w:rPr>
          <w:rFonts w:ascii="宋体" w:hAnsi="宋体"/>
          <w:sz w:val="24"/>
        </w:rPr>
      </w:pPr>
      <w:r>
        <w:rPr>
          <w:rFonts w:hint="eastAsia" w:ascii="宋体" w:hAnsi="宋体"/>
          <w:sz w:val="24"/>
        </w:rPr>
        <w:t>5.2.支持报告模版自定义设置；；提供多个信息维度舆（主要包括文本、简报概述、监测概述、事件走势图、面积走势图、网站统计、来源类型分析、媒体活跃度分析、情感分析、境内外分布、地域分布图、主要舆情、舆情导读和处置建议）等；</w:t>
      </w:r>
    </w:p>
    <w:p>
      <w:pPr>
        <w:pStyle w:val="22"/>
        <w:spacing w:line="360" w:lineRule="auto"/>
        <w:ind w:firstLine="0" w:firstLineChars="0"/>
        <w:rPr>
          <w:rFonts w:ascii="宋体" w:hAnsi="宋体"/>
          <w:sz w:val="24"/>
        </w:rPr>
      </w:pPr>
      <w:r>
        <w:rPr>
          <w:rFonts w:hint="eastAsia" w:ascii="宋体" w:hAnsi="宋体"/>
          <w:sz w:val="24"/>
        </w:rPr>
        <w:t>5.3.支持报告自动生成word、pdf、excel格式下载；</w:t>
      </w:r>
    </w:p>
    <w:p>
      <w:pPr>
        <w:pStyle w:val="22"/>
        <w:spacing w:line="360" w:lineRule="auto"/>
        <w:ind w:firstLine="0" w:firstLineChars="0"/>
        <w:rPr>
          <w:rFonts w:ascii="宋体" w:hAnsi="宋体"/>
          <w:sz w:val="24"/>
        </w:rPr>
      </w:pPr>
      <w:r>
        <w:rPr>
          <w:rFonts w:hint="eastAsia" w:ascii="宋体" w:hAnsi="宋体"/>
          <w:sz w:val="24"/>
        </w:rPr>
        <w:t>5.4.支持通过邮件和短信方式发送生成的报告。</w:t>
      </w:r>
    </w:p>
    <w:p>
      <w:pPr>
        <w:pStyle w:val="22"/>
        <w:spacing w:line="360" w:lineRule="auto"/>
        <w:ind w:firstLine="0" w:firstLineChars="0"/>
        <w:rPr>
          <w:rFonts w:ascii="宋体" w:hAnsi="宋体"/>
          <w:b/>
          <w:bCs/>
          <w:sz w:val="24"/>
        </w:rPr>
      </w:pPr>
      <w:r>
        <w:rPr>
          <w:rFonts w:hint="eastAsia" w:ascii="宋体" w:hAnsi="宋体"/>
          <w:b/>
          <w:bCs/>
          <w:sz w:val="24"/>
          <w:lang w:val="en-US" w:eastAsia="zh-CN"/>
        </w:rPr>
        <w:t>六</w:t>
      </w:r>
      <w:r>
        <w:rPr>
          <w:rFonts w:hint="eastAsia" w:ascii="宋体" w:hAnsi="宋体"/>
          <w:b/>
          <w:bCs/>
          <w:sz w:val="24"/>
        </w:rPr>
        <w:t>、服务要求</w:t>
      </w:r>
    </w:p>
    <w:p>
      <w:pPr>
        <w:pStyle w:val="22"/>
        <w:spacing w:line="360" w:lineRule="auto"/>
        <w:ind w:firstLine="0" w:firstLineChars="0"/>
        <w:rPr>
          <w:rFonts w:ascii="宋体" w:hAnsi="宋体"/>
          <w:sz w:val="24"/>
        </w:rPr>
      </w:pPr>
      <w:r>
        <w:rPr>
          <w:rFonts w:hint="eastAsia" w:ascii="宋体" w:hAnsi="宋体"/>
          <w:sz w:val="24"/>
        </w:rPr>
        <w:t>1、提供舆情信息预警推送服务</w:t>
      </w:r>
    </w:p>
    <w:p>
      <w:pPr>
        <w:pStyle w:val="22"/>
        <w:spacing w:line="360" w:lineRule="auto"/>
        <w:ind w:firstLineChars="0"/>
        <w:rPr>
          <w:rFonts w:ascii="宋体" w:hAnsi="宋体"/>
          <w:sz w:val="24"/>
        </w:rPr>
      </w:pPr>
      <w:r>
        <w:rPr>
          <w:rFonts w:hint="eastAsia" w:ascii="宋体" w:hAnsi="宋体"/>
          <w:sz w:val="24"/>
        </w:rPr>
        <w:t>通过系统监测数据结合人工精准研判分析，提供上海市儿童医院相关正负面舆情信息预警推送服务，在指定时间范围内，根据关注内容及范围将相关负面信息推送至指定微信群或邮箱等。</w:t>
      </w:r>
      <w:r>
        <w:rPr>
          <w:rFonts w:ascii="宋体" w:hAnsi="宋体"/>
          <w:sz w:val="24"/>
        </w:rPr>
        <w:t xml:space="preserve"> </w:t>
      </w:r>
    </w:p>
    <w:p>
      <w:pPr>
        <w:pStyle w:val="22"/>
        <w:spacing w:line="360" w:lineRule="auto"/>
        <w:ind w:firstLine="0" w:firstLineChars="0"/>
        <w:rPr>
          <w:rFonts w:ascii="宋体" w:hAnsi="宋体"/>
          <w:sz w:val="24"/>
        </w:rPr>
      </w:pPr>
      <w:r>
        <w:rPr>
          <w:rFonts w:hint="eastAsia" w:ascii="宋体" w:hAnsi="宋体"/>
          <w:sz w:val="24"/>
        </w:rPr>
        <w:t>2、舆情月报分析服务</w:t>
      </w:r>
    </w:p>
    <w:p>
      <w:pPr>
        <w:pStyle w:val="22"/>
        <w:spacing w:line="360" w:lineRule="auto"/>
        <w:ind w:firstLineChars="0"/>
        <w:rPr>
          <w:rFonts w:ascii="宋体" w:hAnsi="宋体"/>
          <w:sz w:val="24"/>
        </w:rPr>
      </w:pPr>
      <w:r>
        <w:rPr>
          <w:rFonts w:hint="eastAsia" w:ascii="宋体" w:hAnsi="宋体"/>
          <w:sz w:val="24"/>
        </w:rPr>
        <w:t>根据系统监测统计数据，提供上海市儿童医院相关网络舆情月报统计分析服务，内容包括互联网数据分布情况、负面舆情信息分析、具体内容列举等，整体分析上海市儿童医院相关网络舆情信息传播情况及影响力。</w:t>
      </w:r>
    </w:p>
    <w:p>
      <w:pPr>
        <w:pStyle w:val="22"/>
        <w:numPr>
          <w:ilvl w:val="0"/>
          <w:numId w:val="11"/>
        </w:numPr>
        <w:spacing w:line="360" w:lineRule="auto"/>
        <w:ind w:firstLineChars="0"/>
        <w:rPr>
          <w:rFonts w:ascii="宋体" w:hAnsi="宋体"/>
          <w:sz w:val="24"/>
        </w:rPr>
      </w:pPr>
      <w:r>
        <w:rPr>
          <w:rFonts w:hint="eastAsia" w:ascii="宋体" w:hAnsi="宋体"/>
          <w:sz w:val="24"/>
        </w:rPr>
        <w:t>专项舆情主题分析服务</w:t>
      </w:r>
    </w:p>
    <w:p>
      <w:pPr>
        <w:pStyle w:val="22"/>
        <w:spacing w:line="360" w:lineRule="auto"/>
        <w:rPr>
          <w:rFonts w:ascii="宋体" w:hAnsi="宋体"/>
          <w:sz w:val="24"/>
        </w:rPr>
      </w:pPr>
      <w:r>
        <w:rPr>
          <w:rFonts w:hint="eastAsia" w:ascii="宋体" w:hAnsi="宋体"/>
          <w:sz w:val="24"/>
        </w:rPr>
        <w:t>根据系统监测数据，提供舆论专项主题分析报告服务，内容包括正面宣传媒体报道数据统计、传播力及影响力，具体分析舆论传播声量、媒体活跃度情况、热门报道情况等。</w:t>
      </w:r>
    </w:p>
    <w:p>
      <w:pPr>
        <w:pStyle w:val="22"/>
        <w:spacing w:line="360" w:lineRule="auto"/>
        <w:ind w:left="0" w:leftChars="0" w:firstLine="0" w:firstLineChars="0"/>
        <w:rPr>
          <w:rFonts w:ascii="宋体" w:hAnsi="宋体"/>
          <w:sz w:val="24"/>
        </w:rPr>
      </w:pPr>
      <w:r>
        <w:rPr>
          <w:rFonts w:hint="eastAsia" w:asciiTheme="minorEastAsia" w:hAnsiTheme="minorEastAsia" w:eastAsiaTheme="minorEastAsia"/>
          <w:sz w:val="24"/>
        </w:rPr>
        <w:t>4、所有信息</w:t>
      </w:r>
      <w:r>
        <w:rPr>
          <w:rFonts w:hint="eastAsia" w:ascii="宋体" w:hAnsi="宋体"/>
          <w:sz w:val="24"/>
        </w:rPr>
        <w:t>需要7*24小时实时推送给医院，</w:t>
      </w:r>
      <w:r>
        <w:rPr>
          <w:rFonts w:hint="eastAsia" w:asciiTheme="minorEastAsia" w:hAnsiTheme="minorEastAsia" w:eastAsiaTheme="minorEastAsia"/>
          <w:sz w:val="24"/>
        </w:rPr>
        <w:t>同时随时提供即时日报服务。未及时汇报或有延时遗漏的信息，需要提供惩罚机制，并按规定执行。</w:t>
      </w:r>
    </w:p>
    <w:p>
      <w:pPr>
        <w:pStyle w:val="2"/>
        <w:rPr>
          <w:rFonts w:hint="eastAsia"/>
          <w:lang w:val="en-US" w:eastAsia="zh-CN"/>
        </w:rPr>
      </w:pPr>
    </w:p>
    <w:p>
      <w:pPr>
        <w:pStyle w:val="20"/>
        <w:rPr>
          <w:rFonts w:ascii="宋体" w:hAnsi="宋体" w:eastAsia="宋体" w:cs="宋体"/>
          <w:sz w:val="24"/>
          <w:szCs w:val="24"/>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numPr>
          <w:ilvl w:val="0"/>
          <w:numId w:val="8"/>
        </w:numPr>
        <w:rPr>
          <w:rFonts w:ascii="宋体" w:hAnsi="宋体" w:eastAsia="宋体" w:cs="宋体"/>
        </w:rPr>
      </w:pPr>
      <w:r>
        <w:rPr>
          <w:rFonts w:hint="eastAsia" w:ascii="宋体" w:hAnsi="宋体" w:eastAsia="宋体" w:cs="宋体"/>
        </w:rPr>
        <w:t>附件</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0</w:t>
      </w:r>
      <w:r>
        <w:rPr>
          <w:rFonts w:hint="eastAsia" w:ascii="宋体"/>
          <w:sz w:val="24"/>
          <w:u w:val="single"/>
          <w:lang w:val="en-US" w:eastAsia="zh-CN"/>
        </w:rPr>
        <w:t>6</w:t>
      </w:r>
    </w:p>
    <w:p>
      <w:pPr>
        <w:spacing w:line="360" w:lineRule="auto"/>
        <w:ind w:firstLine="360" w:firstLineChars="150"/>
        <w:rPr>
          <w:rFonts w:ascii="宋体"/>
          <w:sz w:val="24"/>
          <w:u w:val="single"/>
        </w:rPr>
      </w:pPr>
      <w:r>
        <w:rPr>
          <w:rFonts w:hint="eastAsia" w:ascii="宋体"/>
          <w:sz w:val="24"/>
        </w:rPr>
        <w:t>项目名称：</w:t>
      </w:r>
      <w:r>
        <w:rPr>
          <w:rFonts w:hint="eastAsia" w:ascii="宋体" w:hAnsi="宋体" w:eastAsia="宋体" w:cs="宋体"/>
          <w:sz w:val="24"/>
          <w:szCs w:val="24"/>
          <w:u w:val="single"/>
        </w:rPr>
        <w:t>互联网舆情监测服务</w:t>
      </w:r>
    </w:p>
    <w:p>
      <w:pPr>
        <w:spacing w:line="360" w:lineRule="auto"/>
        <w:ind w:firstLine="360" w:firstLineChars="150"/>
        <w:rPr>
          <w:rFonts w:ascii="宋体"/>
          <w:sz w:val="24"/>
        </w:rPr>
      </w:pPr>
      <w:r>
        <w:rPr>
          <w:rFonts w:hint="eastAsia" w:ascii="宋体"/>
          <w:sz w:val="24"/>
        </w:rPr>
        <w:t>报价明细：</w:t>
      </w:r>
    </w:p>
    <w:p>
      <w:pPr>
        <w:pStyle w:val="12"/>
        <w:ind w:left="0" w:firstLine="0"/>
      </w:pPr>
    </w:p>
    <w:tbl>
      <w:tblPr>
        <w:tblStyle w:val="13"/>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65"/>
        <w:gridCol w:w="212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pPr>
              <w:spacing w:after="120"/>
              <w:jc w:val="center"/>
              <w:rPr>
                <w:rFonts w:ascii="宋体" w:hAnsi="Calibri"/>
                <w:sz w:val="24"/>
              </w:rPr>
            </w:pPr>
            <w:r>
              <w:rPr>
                <w:rFonts w:hint="eastAsia" w:ascii="宋体" w:hAnsi="Calibri"/>
                <w:sz w:val="24"/>
              </w:rPr>
              <w:t>序号</w:t>
            </w:r>
          </w:p>
        </w:tc>
        <w:tc>
          <w:tcPr>
            <w:tcW w:w="1839" w:type="dxa"/>
            <w:vAlign w:val="center"/>
          </w:tcPr>
          <w:p>
            <w:pPr>
              <w:spacing w:after="120"/>
              <w:jc w:val="center"/>
              <w:rPr>
                <w:rFonts w:ascii="宋体" w:hAnsi="Calibri"/>
                <w:sz w:val="24"/>
              </w:rPr>
            </w:pPr>
            <w:r>
              <w:rPr>
                <w:rFonts w:hint="eastAsia" w:ascii="宋体" w:hAnsi="Calibri"/>
                <w:sz w:val="24"/>
              </w:rPr>
              <w:t>服务内容</w:t>
            </w:r>
          </w:p>
        </w:tc>
        <w:tc>
          <w:tcPr>
            <w:tcW w:w="1803" w:type="dxa"/>
            <w:vAlign w:val="center"/>
          </w:tcPr>
          <w:p>
            <w:pPr>
              <w:spacing w:after="120"/>
              <w:jc w:val="center"/>
              <w:rPr>
                <w:rFonts w:ascii="宋体" w:hAnsi="Calibri"/>
                <w:sz w:val="24"/>
              </w:rPr>
            </w:pPr>
            <w:r>
              <w:rPr>
                <w:rFonts w:hint="eastAsia" w:ascii="宋体" w:hAnsi="Calibri"/>
                <w:sz w:val="24"/>
              </w:rPr>
              <w:t>服务期限</w:t>
            </w:r>
          </w:p>
        </w:tc>
        <w:tc>
          <w:tcPr>
            <w:tcW w:w="1465" w:type="dxa"/>
            <w:vAlign w:val="center"/>
          </w:tcPr>
          <w:p>
            <w:pPr>
              <w:spacing w:after="120"/>
              <w:jc w:val="center"/>
              <w:rPr>
                <w:rFonts w:ascii="宋体" w:hAnsi="Calibri"/>
                <w:sz w:val="24"/>
              </w:rPr>
            </w:pPr>
            <w:r>
              <w:rPr>
                <w:rFonts w:hint="eastAsia" w:ascii="宋体" w:hAnsi="Calibri"/>
                <w:sz w:val="24"/>
              </w:rPr>
              <w:t>报价货币</w:t>
            </w:r>
          </w:p>
        </w:tc>
        <w:tc>
          <w:tcPr>
            <w:tcW w:w="2123" w:type="dxa"/>
            <w:vAlign w:val="center"/>
          </w:tcPr>
          <w:p>
            <w:pPr>
              <w:spacing w:after="120"/>
              <w:jc w:val="center"/>
              <w:rPr>
                <w:rFonts w:ascii="宋体" w:hAnsi="Calibri"/>
                <w:sz w:val="24"/>
              </w:rPr>
            </w:pPr>
            <w:r>
              <w:rPr>
                <w:rFonts w:hint="eastAsia" w:ascii="宋体" w:hAnsi="Calibri"/>
                <w:sz w:val="24"/>
              </w:rPr>
              <w:t>报价金额</w:t>
            </w:r>
          </w:p>
        </w:tc>
        <w:tc>
          <w:tcPr>
            <w:tcW w:w="1930"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pPr>
              <w:spacing w:after="120"/>
              <w:jc w:val="center"/>
              <w:rPr>
                <w:rFonts w:ascii="宋体" w:hAnsi="Calibri"/>
                <w:sz w:val="24"/>
              </w:rPr>
            </w:pPr>
            <w:r>
              <w:rPr>
                <w:rFonts w:hint="eastAsia" w:ascii="宋体" w:hAnsi="Calibri"/>
                <w:sz w:val="24"/>
              </w:rPr>
              <w:t>总价（元）：</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pPr>
              <w:spacing w:after="120"/>
              <w:jc w:val="center"/>
              <w:rPr>
                <w:rFonts w:ascii="宋体" w:hAnsi="Calibri"/>
                <w:sz w:val="24"/>
              </w:rPr>
            </w:pPr>
            <w:r>
              <w:rPr>
                <w:rFonts w:hint="eastAsia" w:ascii="宋体" w:hAnsi="Calibri"/>
                <w:sz w:val="24"/>
              </w:rPr>
              <w:t>总价（大写）：</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pPr>
              <w:spacing w:after="120"/>
              <w:jc w:val="center"/>
              <w:rPr>
                <w:rFonts w:ascii="宋体" w:hAnsi="Calibri"/>
                <w:sz w:val="24"/>
              </w:rPr>
            </w:pPr>
            <w:r>
              <w:rPr>
                <w:rFonts w:hint="eastAsia" w:ascii="宋体" w:hAnsi="Calibri"/>
                <w:sz w:val="24"/>
              </w:rPr>
              <w:t>备注：</w:t>
            </w:r>
          </w:p>
        </w:tc>
        <w:tc>
          <w:tcPr>
            <w:tcW w:w="7321" w:type="dxa"/>
            <w:gridSpan w:val="4"/>
            <w:vAlign w:val="center"/>
          </w:tcPr>
          <w:p>
            <w:pPr>
              <w:spacing w:after="120"/>
              <w:ind w:left="420" w:leftChars="200" w:firstLine="420"/>
              <w:jc w:val="center"/>
              <w:rPr>
                <w:rFonts w:ascii="宋体" w:hAnsi="Calibri"/>
                <w:sz w:val="24"/>
              </w:rPr>
            </w:pPr>
          </w:p>
        </w:tc>
      </w:tr>
    </w:tbl>
    <w:p>
      <w:pPr>
        <w:pStyle w:val="12"/>
        <w:ind w:left="0" w:firstLine="0"/>
      </w:pPr>
    </w:p>
    <w:p>
      <w:pPr>
        <w:pStyle w:val="12"/>
        <w:ind w:left="0" w:firstLine="0"/>
      </w:pPr>
    </w:p>
    <w:p>
      <w:pPr>
        <w:pStyle w:val="12"/>
      </w:pPr>
    </w:p>
    <w:p>
      <w:pPr>
        <w:pStyle w:val="12"/>
      </w:pPr>
    </w:p>
    <w:p>
      <w:pPr>
        <w:pStyle w:val="12"/>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2"/>
        <w:ind w:left="0" w:firstLine="0"/>
      </w:pPr>
    </w:p>
    <w:p>
      <w:pPr>
        <w:pStyle w:val="12"/>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3"/>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3"/>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3"/>
        <w:autoSpaceDE w:val="0"/>
        <w:autoSpaceDN w:val="0"/>
        <w:spacing w:before="120" w:after="120" w:line="240" w:lineRule="atLeast"/>
        <w:jc w:val="left"/>
        <w:rPr>
          <w:rFonts w:ascii="宋体" w:hAnsi="宋体" w:eastAsia="宋体" w:cs="宋体"/>
        </w:rPr>
      </w:pP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3"/>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fmt="decimal"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Style w:val="15"/>
                  </w:rPr>
                </w:pPr>
                <w:r>
                  <w:rPr>
                    <w:rStyle w:val="15"/>
                  </w:rPr>
                  <w:fldChar w:fldCharType="begin"/>
                </w:r>
                <w:r>
                  <w:rPr>
                    <w:rStyle w:val="15"/>
                  </w:rPr>
                  <w:instrText xml:space="preserve">PAGE  </w:instrText>
                </w:r>
                <w:r>
                  <w:rPr>
                    <w:rStyle w:val="15"/>
                  </w:rPr>
                  <w:fldChar w:fldCharType="separate"/>
                </w:r>
                <w:r>
                  <w:rPr>
                    <w:rStyle w:val="15"/>
                  </w:rPr>
                  <w:t>9</w:t>
                </w:r>
                <w:r>
                  <w:rPr>
                    <w:rStyle w:val="15"/>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val="en-US" w:eastAsia="zh-CN"/>
                  </w:rPr>
                </w:pPr>
                <w:r>
                  <w:rPr>
                    <w:rFonts w:hint="eastAsia"/>
                    <w:lang w:val="en-US" w:eastAsia="zh-CN"/>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D42E5C20"/>
    <w:multiLevelType w:val="singleLevel"/>
    <w:tmpl w:val="D42E5C20"/>
    <w:lvl w:ilvl="0" w:tentative="0">
      <w:start w:val="1"/>
      <w:numFmt w:val="decimal"/>
      <w:lvlText w:val="%1)"/>
      <w:lvlJc w:val="left"/>
      <w:pPr>
        <w:ind w:left="845" w:hanging="425"/>
      </w:pPr>
      <w:rPr>
        <w:rFonts w:hint="default"/>
      </w:rPr>
    </w:lvl>
  </w:abstractNum>
  <w:abstractNum w:abstractNumId="3">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810C4B"/>
    <w:multiLevelType w:val="singleLevel"/>
    <w:tmpl w:val="18810C4B"/>
    <w:lvl w:ilvl="0" w:tentative="0">
      <w:start w:val="1"/>
      <w:numFmt w:val="decimal"/>
      <w:suff w:val="space"/>
      <w:lvlText w:val="%1）"/>
      <w:lvlJc w:val="left"/>
    </w:lvl>
  </w:abstractNum>
  <w:abstractNum w:abstractNumId="6">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4F968C7E"/>
    <w:multiLevelType w:val="singleLevel"/>
    <w:tmpl w:val="4F968C7E"/>
    <w:lvl w:ilvl="0" w:tentative="0">
      <w:start w:val="1"/>
      <w:numFmt w:val="chineseCounting"/>
      <w:suff w:val="nothing"/>
      <w:lvlText w:val="%1、"/>
      <w:lvlJc w:val="left"/>
      <w:rPr>
        <w:rFonts w:hint="eastAsia"/>
      </w:rPr>
    </w:lvl>
  </w:abstractNum>
  <w:abstractNum w:abstractNumId="8">
    <w:nsid w:val="522803E6"/>
    <w:multiLevelType w:val="multilevel"/>
    <w:tmpl w:val="522803E6"/>
    <w:lvl w:ilvl="0" w:tentative="0">
      <w:start w:val="2"/>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985AF7"/>
    <w:multiLevelType w:val="singleLevel"/>
    <w:tmpl w:val="6D985AF7"/>
    <w:lvl w:ilvl="0" w:tentative="0">
      <w:start w:val="1"/>
      <w:numFmt w:val="decimal"/>
      <w:lvlText w:val="%1)"/>
      <w:lvlJc w:val="left"/>
      <w:pPr>
        <w:ind w:left="845" w:hanging="425"/>
      </w:pPr>
      <w:rPr>
        <w:rFonts w:hint="default"/>
      </w:rPr>
    </w:lvl>
  </w:abstractNum>
  <w:abstractNum w:abstractNumId="10">
    <w:nsid w:val="7F9D757B"/>
    <w:multiLevelType w:val="multilevel"/>
    <w:tmpl w:val="7F9D757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9"/>
  </w:num>
  <w:num w:numId="8">
    <w:abstractNumId w:val="3"/>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6B2F17DE"/>
    <w:rsid w:val="000D02C6"/>
    <w:rsid w:val="00871A3B"/>
    <w:rsid w:val="00C13E2C"/>
    <w:rsid w:val="056C2D54"/>
    <w:rsid w:val="07FC03D1"/>
    <w:rsid w:val="07FF5C5B"/>
    <w:rsid w:val="0CA93B2B"/>
    <w:rsid w:val="0D6D61B7"/>
    <w:rsid w:val="0DF728DE"/>
    <w:rsid w:val="0FEE35BB"/>
    <w:rsid w:val="167D3F07"/>
    <w:rsid w:val="207756F7"/>
    <w:rsid w:val="21BE4413"/>
    <w:rsid w:val="224D1A14"/>
    <w:rsid w:val="2C7A2EB0"/>
    <w:rsid w:val="2E2456A8"/>
    <w:rsid w:val="31501BF3"/>
    <w:rsid w:val="360849D1"/>
    <w:rsid w:val="4524248D"/>
    <w:rsid w:val="4AAC1378"/>
    <w:rsid w:val="506131F5"/>
    <w:rsid w:val="5F921471"/>
    <w:rsid w:val="60131E12"/>
    <w:rsid w:val="6B2F17DE"/>
    <w:rsid w:val="77CE2688"/>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uiPriority w:val="0"/>
    <w:pPr>
      <w:jc w:val="left"/>
    </w:p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4"/>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2"/>
    <w:unhideWhenUsed/>
    <w:qFormat/>
    <w:uiPriority w:val="99"/>
    <w:pPr>
      <w:ind w:firstLine="420" w:firstLineChars="100"/>
    </w:pPr>
  </w:style>
  <w:style w:type="paragraph" w:styleId="12">
    <w:name w:val="Body Text First Indent 2"/>
    <w:basedOn w:val="5"/>
    <w:unhideWhenUsed/>
    <w:qFormat/>
    <w:uiPriority w:val="99"/>
  </w:style>
  <w:style w:type="character" w:styleId="15">
    <w:name w:val="page number"/>
    <w:qFormat/>
    <w:uiPriority w:val="0"/>
  </w:style>
  <w:style w:type="character" w:styleId="16">
    <w:name w:val="FollowedHyperlink"/>
    <w:basedOn w:val="14"/>
    <w:qFormat/>
    <w:uiPriority w:val="0"/>
    <w:rPr>
      <w:color w:val="800080"/>
      <w:u w:val="single"/>
    </w:rPr>
  </w:style>
  <w:style w:type="character" w:styleId="17">
    <w:name w:val="Hyperlink"/>
    <w:unhideWhenUsed/>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ITB-0"/>
    <w:basedOn w:val="1"/>
    <w:qFormat/>
    <w:uiPriority w:val="0"/>
    <w:pPr>
      <w:adjustRightInd w:val="0"/>
      <w:jc w:val="center"/>
    </w:pPr>
    <w:rPr>
      <w:b/>
      <w:sz w:val="32"/>
      <w:szCs w:val="20"/>
    </w:rPr>
  </w:style>
  <w:style w:type="paragraph" w:customStyle="1" w:styleId="2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1">
    <w:name w:val="ifb-1"/>
    <w:basedOn w:val="1"/>
    <w:qFormat/>
    <w:uiPriority w:val="0"/>
    <w:pPr>
      <w:ind w:left="420" w:hanging="420"/>
    </w:pPr>
    <w:rPr>
      <w:rFonts w:ascii="楷体_GB2312" w:eastAsia="楷体_GB2312"/>
      <w:szCs w:val="20"/>
    </w:rPr>
  </w:style>
  <w:style w:type="paragraph" w:customStyle="1" w:styleId="22">
    <w:name w:val="列出段落1"/>
    <w:basedOn w:val="1"/>
    <w:qFormat/>
    <w:uiPriority w:val="0"/>
    <w:pPr>
      <w:ind w:firstLine="420" w:firstLineChars="200"/>
    </w:pPr>
    <w:rPr>
      <w:rFonts w:ascii="Calibri" w:hAnsi="Calibri"/>
      <w:szCs w:val="22"/>
    </w:rPr>
  </w:style>
  <w:style w:type="paragraph" w:customStyle="1" w:styleId="23">
    <w:name w:val="att"/>
    <w:basedOn w:val="1"/>
    <w:qFormat/>
    <w:uiPriority w:val="0"/>
    <w:pPr>
      <w:spacing w:line="360" w:lineRule="auto"/>
    </w:pPr>
    <w:rPr>
      <w:rFonts w:eastAsia="楷体_GB2312"/>
      <w:sz w:val="24"/>
      <w:szCs w:val="20"/>
    </w:rPr>
  </w:style>
  <w:style w:type="character" w:customStyle="1" w:styleId="24">
    <w:name w:val="批注框文本 Char"/>
    <w:basedOn w:val="14"/>
    <w:link w:val="6"/>
    <w:qFormat/>
    <w:uiPriority w:val="0"/>
    <w:rPr>
      <w:kern w:val="2"/>
      <w:sz w:val="18"/>
      <w:szCs w:val="18"/>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4667</Words>
  <Characters>5231</Characters>
  <Lines>48</Lines>
  <Paragraphs>13</Paragraphs>
  <TotalTime>0</TotalTime>
  <ScaleCrop>false</ScaleCrop>
  <LinksUpToDate>false</LinksUpToDate>
  <CharactersWithSpaces>5652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2022-03-03T02:22:00Z</dcterms:created>
  <dc:creator>user</dc:creator>
  <cp:lastModifiedBy>user</cp:lastModifiedBy>
  <dcterms:modified xsi:type="dcterms:W3CDTF">2022-07-19T03:11:22Z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948C9E9221F4482292AEA7355DE23444</vt:lpwstr>
  </property>
</Properties>
</file>