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“甘</w:t>
      </w:r>
      <w:r>
        <w:rPr>
          <w:rFonts w:hint="eastAsia" w:ascii="inherit" w:hAnsi="inherit" w:eastAsia="微软雅黑" w:cs="宋体"/>
          <w:kern w:val="36"/>
          <w:sz w:val="28"/>
          <w:szCs w:val="28"/>
          <w:lang w:val="en-US" w:eastAsia="zh-CN"/>
        </w:rPr>
        <w:t>胆</w:t>
      </w:r>
      <w:r>
        <w:rPr>
          <w:rFonts w:hint="eastAsia" w:ascii="inherit" w:hAnsi="inherit" w:eastAsia="微软雅黑" w:cs="宋体"/>
          <w:kern w:val="36"/>
          <w:sz w:val="28"/>
          <w:szCs w:val="28"/>
        </w:rPr>
        <w:t>酸（CG）检测、抗缪勒管激素（AMH）测定、单纯疱疹病毒I、II分型核酸检测、血氨测定干片（干化学法）”</w:t>
      </w:r>
    </w:p>
    <w:p>
      <w:pPr>
        <w:widowControl/>
        <w:jc w:val="center"/>
        <w:rPr>
          <w:rFonts w:hint="eastAsia" w:ascii="inherit" w:hAnsi="inherit" w:eastAsia="微软雅黑" w:cs="宋体"/>
          <w:kern w:val="36"/>
          <w:sz w:val="28"/>
          <w:szCs w:val="28"/>
          <w:lang w:eastAsia="zh-CN"/>
        </w:rPr>
      </w:pPr>
      <w:r>
        <w:rPr>
          <w:rFonts w:ascii="inherit" w:hAnsi="inherit" w:eastAsia="微软雅黑" w:cs="宋体"/>
          <w:kern w:val="36"/>
          <w:sz w:val="28"/>
          <w:szCs w:val="28"/>
        </w:rPr>
        <w:t>遴选</w:t>
      </w:r>
      <w:r>
        <w:rPr>
          <w:rFonts w:hint="eastAsia" w:ascii="inherit" w:hAnsi="inherit" w:eastAsia="微软雅黑" w:cs="宋体"/>
          <w:kern w:val="36"/>
          <w:sz w:val="28"/>
          <w:szCs w:val="28"/>
        </w:rPr>
        <w:t>文件</w:t>
      </w:r>
      <w:r>
        <w:rPr>
          <w:rFonts w:hint="eastAsia" w:ascii="inherit" w:hAnsi="inherit" w:eastAsia="微软雅黑" w:cs="宋体"/>
          <w:kern w:val="36"/>
          <w:sz w:val="28"/>
          <w:szCs w:val="28"/>
          <w:lang w:eastAsia="zh-CN"/>
        </w:rPr>
        <w:t>（</w:t>
      </w:r>
      <w:r>
        <w:rPr>
          <w:rFonts w:hint="eastAsia" w:ascii="inherit" w:hAnsi="inherit" w:eastAsia="微软雅黑" w:cs="宋体"/>
          <w:kern w:val="36"/>
          <w:sz w:val="28"/>
          <w:szCs w:val="28"/>
          <w:lang w:val="en-US" w:eastAsia="zh-CN"/>
        </w:rPr>
        <w:t>第二次</w:t>
      </w:r>
      <w:r>
        <w:rPr>
          <w:rFonts w:hint="eastAsia" w:ascii="inherit" w:hAnsi="inherit" w:eastAsia="微软雅黑" w:cs="宋体"/>
          <w:kern w:val="36"/>
          <w:sz w:val="28"/>
          <w:szCs w:val="28"/>
          <w:lang w:eastAsia="zh-CN"/>
        </w:rPr>
        <w:t>）</w:t>
      </w:r>
    </w:p>
    <w:p>
      <w:pPr>
        <w:widowControl/>
        <w:spacing w:line="504" w:lineRule="atLeast"/>
        <w:jc w:val="center"/>
        <w:outlineLvl w:val="0"/>
        <w:rPr>
          <w:rFonts w:hint="eastAsia" w:ascii="inherit" w:hAnsi="inherit" w:eastAsia="微软雅黑" w:cs="宋体"/>
          <w:color w:val="333333"/>
          <w:kern w:val="36"/>
          <w:sz w:val="28"/>
          <w:szCs w:val="28"/>
        </w:rPr>
      </w:pPr>
      <w:r>
        <w:rPr>
          <w:rFonts w:hint="eastAsia" w:ascii="inherit" w:hAnsi="inherit" w:eastAsia="微软雅黑" w:cs="宋体"/>
          <w:color w:val="333333"/>
          <w:kern w:val="36"/>
          <w:sz w:val="28"/>
          <w:szCs w:val="28"/>
        </w:rPr>
        <w:t>遴选编号：2022-ETLX</w:t>
      </w:r>
      <w:r>
        <w:rPr>
          <w:rFonts w:hint="eastAsia" w:ascii="inherit" w:hAnsi="inherit" w:eastAsia="微软雅黑" w:cs="宋体"/>
          <w:kern w:val="36"/>
          <w:sz w:val="28"/>
          <w:szCs w:val="28"/>
        </w:rPr>
        <w:t>SJ-001</w:t>
      </w:r>
    </w:p>
    <w:p>
      <w:pPr>
        <w:widowControl/>
        <w:spacing w:before="168" w:after="168" w:line="440" w:lineRule="exact"/>
        <w:ind w:firstLine="480" w:firstLineChars="200"/>
        <w:jc w:val="left"/>
        <w:rPr>
          <w:rFonts w:ascii="宋体" w:hAnsi="宋体" w:eastAsia="宋体" w:cs="宋体"/>
          <w:color w:val="FF0000"/>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甘</w:t>
      </w:r>
      <w:r>
        <w:rPr>
          <w:rFonts w:hint="eastAsia" w:ascii="宋体" w:hAnsi="宋体" w:eastAsia="宋体" w:cs="宋体"/>
          <w:color w:val="000000"/>
          <w:kern w:val="0"/>
          <w:sz w:val="24"/>
          <w:szCs w:val="24"/>
          <w:lang w:val="en-US" w:eastAsia="zh-CN"/>
        </w:rPr>
        <w:t>胆</w:t>
      </w:r>
      <w:bookmarkStart w:id="0" w:name="_GoBack"/>
      <w:bookmarkEnd w:id="0"/>
      <w:r>
        <w:rPr>
          <w:rFonts w:hint="eastAsia" w:ascii="宋体" w:hAnsi="宋体" w:eastAsia="宋体" w:cs="宋体"/>
          <w:color w:val="000000"/>
          <w:kern w:val="0"/>
          <w:sz w:val="24"/>
          <w:szCs w:val="24"/>
        </w:rPr>
        <w:t>酸（CG）检测、抗缪勒管激素（AMH）测定、单纯疱疹病毒I、II分型核酸检测、血氨测定干片（干化学法）”公开征询供应商，欢迎</w:t>
      </w:r>
      <w:r>
        <w:rPr>
          <w:rFonts w:hint="eastAsia" w:ascii="宋体" w:hAnsi="宋体" w:eastAsia="宋体" w:cs="宋体"/>
          <w:kern w:val="0"/>
          <w:sz w:val="24"/>
          <w:szCs w:val="24"/>
        </w:rPr>
        <w:t>合格供应商前来参加遴选。届时我们将选出合适的产品供应商进行日常采购。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一、适用情况：用于临床、检验、病理等医用试剂。</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项目名称：</w:t>
      </w:r>
      <w:r>
        <w:rPr>
          <w:rFonts w:hint="eastAsia" w:ascii="宋体" w:hAnsi="宋体" w:eastAsia="宋体" w:cs="宋体"/>
          <w:color w:val="000000"/>
          <w:kern w:val="0"/>
          <w:sz w:val="24"/>
          <w:szCs w:val="24"/>
          <w:lang w:eastAsia="zh-CN"/>
        </w:rPr>
        <w:t>包件</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抗缪勒管激素（AMH）测定</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包件</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单纯疱疹病毒I、II分型核酸检测（荧光PCR法）</w:t>
      </w:r>
    </w:p>
    <w:p>
      <w:pPr>
        <w:keepNext w:val="0"/>
        <w:keepLines w:val="0"/>
        <w:pageBreakBefore w:val="0"/>
        <w:widowControl/>
        <w:kinsoku/>
        <w:wordWrap w:val="0"/>
        <w:overflowPunct/>
        <w:topLinePunct w:val="0"/>
        <w:autoSpaceDE/>
        <w:autoSpaceDN/>
        <w:bidi w:val="0"/>
        <w:adjustRightInd/>
        <w:snapToGrid/>
        <w:spacing w:line="360" w:lineRule="exac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包件4：血氨测定干片（干化学法）</w:t>
      </w:r>
    </w:p>
    <w:p>
      <w:pPr>
        <w:widowControl/>
        <w:wordWrap w:val="0"/>
        <w:spacing w:line="440" w:lineRule="exact"/>
        <w:rPr>
          <w:rFonts w:ascii="宋体" w:hAnsi="宋体" w:eastAsia="宋体" w:cs="宋体"/>
          <w:color w:val="000000"/>
          <w:kern w:val="0"/>
          <w:sz w:val="24"/>
          <w:szCs w:val="24"/>
        </w:rPr>
      </w:pPr>
    </w:p>
    <w:p>
      <w:pPr>
        <w:widowControl/>
        <w:wordWrap w:val="0"/>
        <w:spacing w:line="193" w:lineRule="atLeast"/>
        <w:rPr>
          <w:rFonts w:ascii="宋体" w:hAnsi="宋体" w:eastAsia="宋体" w:cs="宋体"/>
          <w:color w:val="000000"/>
          <w:kern w:val="0"/>
          <w:sz w:val="24"/>
          <w:szCs w:val="24"/>
        </w:rPr>
      </w:pPr>
    </w:p>
    <w:p>
      <w:pPr>
        <w:widowControl/>
        <w:wordWrap w:val="0"/>
        <w:spacing w:line="193" w:lineRule="atLeast"/>
        <w:rPr>
          <w:rFonts w:ascii="Calibri" w:hAnsi="Calibri" w:eastAsia="微软雅黑" w:cs="宋体"/>
          <w:color w:val="333333"/>
          <w:kern w:val="0"/>
          <w:szCs w:val="21"/>
        </w:rPr>
      </w:pPr>
    </w:p>
    <w:p>
      <w:pPr>
        <w:widowControl/>
        <w:numPr>
          <w:ilvl w:val="0"/>
          <w:numId w:val="1"/>
        </w:numPr>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技术要求：</w:t>
      </w:r>
    </w:p>
    <w:p>
      <w:pPr>
        <w:widowControl/>
        <w:wordWrap w:val="0"/>
        <w:spacing w:line="193" w:lineRule="atLeast"/>
        <w:ind w:left="1560" w:hanging="1560" w:hangingChars="650"/>
        <w:rPr>
          <w:rFonts w:ascii="宋体" w:hAnsi="宋体" w:eastAsia="宋体" w:cs="宋体"/>
          <w:color w:val="000000"/>
          <w:kern w:val="0"/>
          <w:sz w:val="24"/>
          <w:szCs w:val="24"/>
        </w:rPr>
      </w:pPr>
      <w:r>
        <w:rPr>
          <w:rFonts w:hint="eastAsia" w:ascii="宋体" w:hAnsi="宋体" w:eastAsia="宋体" w:cs="宋体"/>
          <w:color w:val="000000"/>
          <w:kern w:val="0"/>
          <w:sz w:val="24"/>
          <w:szCs w:val="24"/>
        </w:rPr>
        <w:t>包件二：抗缪勒管激素（AMH）测定</w:t>
      </w:r>
    </w:p>
    <w:p>
      <w:pPr>
        <w:rPr>
          <w:rFonts w:ascii="宋体" w:hAnsi="宋体" w:cs="宋体"/>
          <w:color w:val="000000"/>
          <w:kern w:val="0"/>
          <w:sz w:val="24"/>
          <w:lang w:bidi="ar"/>
        </w:rPr>
      </w:pPr>
      <w:r>
        <w:rPr>
          <w:rFonts w:hint="eastAsia" w:ascii="宋体" w:hAnsi="宋体" w:cs="宋体"/>
          <w:color w:val="000000"/>
          <w:kern w:val="0"/>
          <w:sz w:val="24"/>
          <w:lang w:bidi="ar"/>
        </w:rPr>
        <w:t>预估年使用量：300次</w:t>
      </w:r>
    </w:p>
    <w:p>
      <w:pPr>
        <w:rPr>
          <w:rFonts w:ascii="宋体" w:hAnsi="宋体" w:cs="宋体"/>
          <w:color w:val="000000"/>
          <w:kern w:val="0"/>
          <w:sz w:val="24"/>
          <w:lang w:bidi="ar"/>
        </w:rPr>
      </w:pPr>
      <w:r>
        <w:rPr>
          <w:rFonts w:hint="eastAsia" w:ascii="宋体" w:hAnsi="宋体" w:cs="宋体"/>
          <w:color w:val="000000"/>
          <w:kern w:val="0"/>
          <w:sz w:val="24"/>
          <w:lang w:bidi="ar"/>
        </w:rPr>
        <w:t>用途：辅助儿童性发育相关疾病的诊疗</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用途：抗缪勒管激素（</w:t>
            </w:r>
            <w:r>
              <w:rPr>
                <w:rFonts w:ascii="宋体" w:hAnsi="宋体" w:cs="宋体"/>
                <w:color w:val="000000"/>
                <w:kern w:val="0"/>
                <w:sz w:val="22"/>
                <w:lang w:bidi="ar"/>
              </w:rPr>
              <w:t>AMH</w:t>
            </w:r>
            <w:r>
              <w:rPr>
                <w:rFonts w:hint="eastAsia" w:ascii="宋体" w:hAnsi="宋体" w:cs="宋体"/>
                <w:color w:val="000000"/>
                <w:kern w:val="0"/>
                <w:sz w:val="22"/>
                <w:lang w:bidi="ar"/>
              </w:rPr>
              <w:t>）是一种与两性发育密切相关的生殖激素，</w:t>
            </w:r>
            <w:r>
              <w:rPr>
                <w:rFonts w:ascii="宋体" w:hAnsi="宋体" w:cs="宋体"/>
                <w:color w:val="000000"/>
                <w:kern w:val="0"/>
                <w:sz w:val="22"/>
                <w:lang w:bidi="ar"/>
              </w:rPr>
              <w:t>AMH</w:t>
            </w:r>
            <w:r>
              <w:rPr>
                <w:rFonts w:hint="eastAsia" w:ascii="宋体" w:hAnsi="宋体" w:cs="宋体"/>
                <w:color w:val="000000"/>
                <w:kern w:val="0"/>
                <w:sz w:val="22"/>
                <w:lang w:bidi="ar"/>
              </w:rPr>
              <w:t>参与了由下丘脑</w:t>
            </w:r>
            <w:r>
              <w:rPr>
                <w:rFonts w:hint="eastAsia" w:ascii="MS Mincho" w:hAnsi="MS Mincho" w:eastAsia="MS Mincho" w:cs="MS Mincho"/>
                <w:color w:val="000000"/>
                <w:kern w:val="0"/>
                <w:sz w:val="22"/>
                <w:lang w:bidi="ar"/>
              </w:rPr>
              <w:t>⁃</w:t>
            </w:r>
            <w:r>
              <w:rPr>
                <w:rFonts w:hint="eastAsia" w:ascii="宋体" w:hAnsi="宋体" w:cs="宋体"/>
                <w:color w:val="000000"/>
                <w:kern w:val="0"/>
                <w:sz w:val="22"/>
                <w:lang w:bidi="ar"/>
              </w:rPr>
              <w:t>垂体</w:t>
            </w:r>
            <w:r>
              <w:rPr>
                <w:rFonts w:hint="eastAsia" w:ascii="MS Mincho" w:hAnsi="MS Mincho" w:eastAsia="MS Mincho" w:cs="MS Mincho"/>
                <w:color w:val="000000"/>
                <w:kern w:val="0"/>
                <w:sz w:val="22"/>
                <w:lang w:bidi="ar"/>
              </w:rPr>
              <w:t>⁃</w:t>
            </w:r>
            <w:r>
              <w:rPr>
                <w:rFonts w:hint="eastAsia" w:ascii="宋体" w:hAnsi="宋体" w:cs="宋体"/>
                <w:color w:val="000000"/>
                <w:kern w:val="0"/>
                <w:sz w:val="22"/>
                <w:lang w:bidi="ar"/>
              </w:rPr>
              <w:t>性腺轴调控的儿童性发育过程，在儿童性腺、性器官的正常发育及生殖功能的成熟中具有重要意义，</w:t>
            </w:r>
            <w:r>
              <w:rPr>
                <w:rFonts w:ascii="宋体" w:hAnsi="宋体" w:cs="宋体"/>
                <w:color w:val="000000"/>
                <w:kern w:val="0"/>
                <w:sz w:val="22"/>
                <w:lang w:bidi="ar"/>
              </w:rPr>
              <w:t xml:space="preserve">AMH </w:t>
            </w:r>
            <w:r>
              <w:rPr>
                <w:rFonts w:hint="eastAsia" w:ascii="宋体" w:hAnsi="宋体" w:cs="宋体"/>
                <w:color w:val="000000"/>
                <w:kern w:val="0"/>
                <w:sz w:val="22"/>
                <w:lang w:bidi="ar"/>
              </w:rPr>
              <w:t>水平的异常变化可能提示儿童性发育相关疾病的发生。</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检测方法：化学发光法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检测限：大于</w:t>
            </w:r>
            <w:r>
              <w:rPr>
                <w:rFonts w:ascii="宋体" w:hAnsi="宋体" w:cs="宋体"/>
                <w:color w:val="000000"/>
                <w:kern w:val="0"/>
                <w:sz w:val="22"/>
                <w:lang w:bidi="ar"/>
              </w:rPr>
              <w:t>0.0</w:t>
            </w:r>
            <w:r>
              <w:rPr>
                <w:rFonts w:hint="eastAsia" w:ascii="宋体" w:hAnsi="宋体" w:cs="宋体"/>
                <w:color w:val="000000"/>
                <w:kern w:val="0"/>
                <w:sz w:val="22"/>
                <w:lang w:bidi="ar"/>
              </w:rPr>
              <w:t>2</w:t>
            </w:r>
            <w:r>
              <w:rPr>
                <w:rFonts w:ascii="宋体" w:hAnsi="宋体" w:cs="宋体"/>
                <w:color w:val="000000"/>
                <w:kern w:val="0"/>
                <w:sz w:val="22"/>
                <w:lang w:bidi="ar"/>
              </w:rPr>
              <w:t>ng/ml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线性范围：</w:t>
            </w:r>
            <w:r>
              <w:rPr>
                <w:rFonts w:ascii="宋体" w:hAnsi="宋体" w:cs="宋体"/>
                <w:color w:val="000000"/>
                <w:sz w:val="22"/>
              </w:rPr>
              <w:t>0.1ng/ml -16ng/mL</w:t>
            </w:r>
            <w:r>
              <w:rPr>
                <w:rFonts w:hint="eastAsia" w:ascii="宋体" w:hAnsi="宋体" w:cs="宋体"/>
                <w:color w:val="000000"/>
                <w:sz w:val="22"/>
              </w:rPr>
              <w:t xml:space="preserve"> </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1.2.4</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不精密度：＜10%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适配仪器：亚辉龙ifash 3000-A或贝克曼DXI800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eastAsia="宋体" w:cs="宋体"/>
                <w:kern w:val="0"/>
                <w:sz w:val="22"/>
                <w:lang w:bidi="ar"/>
              </w:rPr>
              <w:t>▲</w:t>
            </w:r>
            <w:r>
              <w:rPr>
                <w:rFonts w:hint="eastAsia" w:ascii="宋体" w:hAnsi="宋体" w:cs="宋体"/>
                <w:color w:val="000000"/>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需三证齐全：生产许可证、医疗器械注册证或国药准字号、经营许可证</w:t>
            </w:r>
          </w:p>
        </w:tc>
      </w:tr>
    </w:tbl>
    <w:p>
      <w:pPr>
        <w:spacing w:line="300" w:lineRule="auto"/>
        <w:rPr>
          <w:rFonts w:asciiTheme="minorEastAsia" w:hAnsiTheme="minorEastAsia"/>
          <w:sz w:val="24"/>
          <w:szCs w:val="24"/>
        </w:rPr>
      </w:pPr>
    </w:p>
    <w:p>
      <w:pPr>
        <w:spacing w:line="300" w:lineRule="auto"/>
        <w:rPr>
          <w:rFonts w:asciiTheme="minorEastAsia" w:hAnsiTheme="minorEastAsia"/>
          <w:sz w:val="24"/>
          <w:szCs w:val="24"/>
        </w:rPr>
      </w:pP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包件三：单纯疱疹病毒I、II分型核酸检测（荧光PCR法）</w:t>
      </w:r>
    </w:p>
    <w:p>
      <w:pPr>
        <w:rPr>
          <w:rFonts w:ascii="宋体" w:hAnsi="宋体" w:cs="宋体"/>
          <w:color w:val="000000"/>
          <w:kern w:val="0"/>
          <w:sz w:val="24"/>
          <w:lang w:bidi="ar"/>
        </w:rPr>
      </w:pPr>
      <w:r>
        <w:rPr>
          <w:rFonts w:hint="eastAsia" w:ascii="宋体" w:hAnsi="宋体" w:cs="宋体"/>
          <w:color w:val="000000"/>
          <w:kern w:val="0"/>
          <w:sz w:val="24"/>
          <w:lang w:bidi="ar"/>
        </w:rPr>
        <w:t>预估年使用量：800次</w:t>
      </w:r>
    </w:p>
    <w:p>
      <w:pPr>
        <w:rPr>
          <w:rFonts w:ascii="宋体" w:hAnsi="宋体" w:cs="宋体"/>
          <w:color w:val="000000"/>
          <w:kern w:val="0"/>
          <w:sz w:val="24"/>
          <w:lang w:bidi="ar"/>
        </w:rPr>
      </w:pPr>
      <w:r>
        <w:rPr>
          <w:rFonts w:hint="eastAsia" w:ascii="宋体" w:hAnsi="宋体" w:cs="宋体"/>
          <w:color w:val="000000"/>
          <w:kern w:val="0"/>
          <w:sz w:val="24"/>
          <w:lang w:bidi="ar"/>
        </w:rPr>
        <w:t>用途：</w:t>
      </w:r>
      <w:r>
        <w:rPr>
          <w:rFonts w:hint="eastAsia" w:ascii="宋体" w:hAnsi="宋体" w:cs="宋体"/>
          <w:color w:val="000000"/>
          <w:kern w:val="0"/>
          <w:sz w:val="22"/>
          <w:lang w:bidi="ar"/>
        </w:rPr>
        <w:t>临床HSV感染类型的判断及辅助诊疗</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用途：HSV I型主要引发躯体腰以上部位皮肤黏膜和中枢神经系统的感染，感染多见于儿童，常引起口腔齿龈和口腔炎。HSVII型可经生殖道引起新生儿感染，引起生殖器疱疹、幼儿龈口炎、儿童疱疹唇炎及角膜炎。通过HSV的分型检测，可辅助临床HSV感染类型的判断。</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检测方法：PCR-荧光探针法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最低检测限：1x10^3copies/mL </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不精密度：</w:t>
            </w:r>
            <w:r>
              <w:rPr>
                <w:rFonts w:ascii="宋体" w:hAnsi="宋体" w:cs="宋体"/>
                <w:kern w:val="0"/>
                <w:sz w:val="22"/>
                <w:lang w:bidi="ar"/>
              </w:rPr>
              <w:t>CV</w:t>
            </w:r>
            <w:r>
              <w:rPr>
                <w:rFonts w:cs="宋体"/>
                <w:kern w:val="0"/>
                <w:sz w:val="22"/>
                <w:lang w:bidi="ar"/>
              </w:rPr>
              <w:t>均＜</w:t>
            </w:r>
            <w:r>
              <w:rPr>
                <w:rFonts w:ascii="宋体" w:hAnsi="宋体" w:cs="宋体"/>
                <w:kern w:val="0"/>
                <w:sz w:val="22"/>
                <w:lang w:bidi="ar"/>
              </w:rPr>
              <w:t>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1.2.4</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特异性：与其他病原体如淋球菌、解脲支原体、沙眼衣原体、人乳头瘤病毒6型、人乳头瘤病毒II型、弓形虫、人型支原体、鼻咽癌病毒、人疱疹病毒6型、人疱疹病毒8型均不会发生交叉反应。</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适配仪器：荧光定量PCR仪</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eastAsia="宋体" w:cs="宋体"/>
                <w:kern w:val="0"/>
                <w:sz w:val="22"/>
                <w:lang w:bidi="ar"/>
              </w:rPr>
              <w:t>▲</w:t>
            </w:r>
            <w:r>
              <w:rPr>
                <w:rFonts w:hint="eastAsia" w:ascii="宋体" w:hAnsi="宋体" w:cs="宋体"/>
                <w:color w:val="000000"/>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需三证齐全：生产许可证、医疗器械注册证或国药准字号、经营许可证</w:t>
            </w:r>
          </w:p>
        </w:tc>
      </w:tr>
    </w:tbl>
    <w:p>
      <w:pPr>
        <w:spacing w:line="300" w:lineRule="auto"/>
        <w:rPr>
          <w:rFonts w:ascii="宋体" w:hAnsi="宋体" w:eastAsia="宋体" w:cs="宋体"/>
          <w:color w:val="000000"/>
          <w:kern w:val="0"/>
          <w:sz w:val="24"/>
          <w:szCs w:val="24"/>
        </w:rPr>
      </w:pP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包件四：血氨测定干片（干化学法）</w:t>
      </w: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预估年使用量：1800次</w:t>
      </w:r>
    </w:p>
    <w:p>
      <w:pPr>
        <w:spacing w:line="30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用途：用于定量测定血浆中氨的含量。</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用途：该产品用于定量测定血浆中氨的含量，氨是蛋白质代谢所产生的废物，它对中枢神经系统有潜在毒副作用。血氨升高可能预示肝性脑病、肝硬化末期肝昏迷、肝衰竭、急性/亚急性肝坏死和雷氏综合症、高氨血症在饮食蛋白过多摄入时也有发现。</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检测方法：比色法/干化学法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线性范围：</w:t>
            </w:r>
            <w:r>
              <w:rPr>
                <w:rFonts w:ascii="宋体" w:hAnsi="宋体" w:cs="宋体"/>
                <w:color w:val="auto"/>
                <w:kern w:val="0"/>
                <w:sz w:val="22"/>
                <w:lang w:bidi="ar"/>
              </w:rPr>
              <w:t>8.7-500umol/L</w:t>
            </w:r>
            <w:r>
              <w:rPr>
                <w:rFonts w:hint="eastAsia" w:ascii="宋体" w:hAnsi="宋体" w:cs="宋体"/>
                <w:color w:val="auto"/>
                <w:kern w:val="0"/>
                <w:sz w:val="22"/>
                <w:lang w:bidi="ar"/>
              </w:rPr>
              <w:t xml:space="preserve"> </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不精密度：</w:t>
            </w:r>
            <w:r>
              <w:rPr>
                <w:rFonts w:ascii="宋体" w:hAnsi="宋体" w:cs="宋体"/>
                <w:color w:val="auto"/>
                <w:kern w:val="0"/>
                <w:sz w:val="22"/>
                <w:lang w:bidi="ar"/>
              </w:rPr>
              <w:t>CV</w:t>
            </w:r>
            <w:r>
              <w:rPr>
                <w:rFonts w:cs="宋体"/>
                <w:color w:val="auto"/>
                <w:kern w:val="0"/>
                <w:sz w:val="22"/>
                <w:lang w:bidi="ar"/>
              </w:rPr>
              <w:t>均＜</w:t>
            </w:r>
            <w:r>
              <w:rPr>
                <w:rFonts w:ascii="宋体" w:hAnsi="宋体" w:cs="宋体"/>
                <w:color w:val="auto"/>
                <w:kern w:val="0"/>
                <w:sz w:val="22"/>
                <w:lang w:bidi="ar"/>
              </w:rPr>
              <w:t>10%</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适配仪器：</w:t>
            </w:r>
            <w:r>
              <w:rPr>
                <w:rFonts w:ascii="宋体" w:hAnsi="宋体" w:cs="宋体"/>
                <w:color w:val="auto"/>
                <w:sz w:val="22"/>
              </w:rPr>
              <w:t xml:space="preserve"> VITROS 350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eastAsia="宋体" w:cs="宋体"/>
                <w:color w:val="auto"/>
                <w:kern w:val="0"/>
                <w:sz w:val="22"/>
                <w:lang w:bidi="ar"/>
              </w:rPr>
              <w:t>▲</w:t>
            </w:r>
            <w:r>
              <w:rPr>
                <w:rFonts w:hint="eastAsia" w:ascii="宋体" w:hAnsi="宋体" w:cs="宋体"/>
                <w:color w:val="auto"/>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需三证齐全：生产许可证、医疗器械注册证或国药准字号、经营许可证</w:t>
            </w:r>
          </w:p>
          <w:p>
            <w:pPr>
              <w:widowControl/>
              <w:jc w:val="left"/>
              <w:textAlignment w:val="center"/>
              <w:rPr>
                <w:rFonts w:ascii="宋体" w:hAnsi="宋体" w:cs="宋体"/>
                <w:color w:val="auto"/>
                <w:sz w:val="22"/>
              </w:rPr>
            </w:pPr>
            <w:r>
              <w:rPr>
                <w:rFonts w:hint="eastAsia" w:ascii="宋体" w:hAnsi="宋体" w:eastAsia="宋体" w:cs="宋体"/>
                <w:color w:val="auto"/>
                <w:kern w:val="0"/>
                <w:sz w:val="22"/>
              </w:rPr>
              <w:t>赠送血氨与脑脊液蛋白复合校准品，配备扫描配件。</w:t>
            </w:r>
          </w:p>
        </w:tc>
      </w:tr>
    </w:tbl>
    <w:p>
      <w:pPr>
        <w:spacing w:line="300" w:lineRule="auto"/>
        <w:rPr>
          <w:rFonts w:hint="eastAsia" w:ascii="宋体" w:hAnsi="宋体" w:eastAsia="宋体" w:cs="宋体"/>
          <w:color w:val="000000"/>
          <w:kern w:val="0"/>
          <w:sz w:val="24"/>
          <w:szCs w:val="24"/>
        </w:rPr>
      </w:pPr>
    </w:p>
    <w:p>
      <w:pPr>
        <w:spacing w:line="300" w:lineRule="auto"/>
        <w:rPr>
          <w:rFonts w:ascii="宋体" w:hAnsi="宋体" w:eastAsia="宋体" w:cs="宋体"/>
          <w:color w:val="000000"/>
          <w:kern w:val="0"/>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widowControl/>
        <w:wordWrap w:val="0"/>
        <w:spacing w:line="193" w:lineRule="atLeast"/>
        <w:rPr>
          <w:rFonts w:hint="eastAsia" w:asciiTheme="minorEastAsia" w:hAnsiTheme="minorEastAsia"/>
          <w:color w:val="FF0000"/>
          <w:sz w:val="24"/>
          <w:szCs w:val="24"/>
        </w:rPr>
      </w:pPr>
      <w:r>
        <w:rPr>
          <w:rFonts w:hint="eastAsia" w:asciiTheme="minorEastAsia" w:hAnsiTheme="minorEastAsia"/>
          <w:color w:val="FF0000"/>
          <w:sz w:val="24"/>
          <w:szCs w:val="24"/>
        </w:rPr>
        <w:t>1</w:t>
      </w:r>
      <w:r>
        <w:rPr>
          <w:rFonts w:asciiTheme="minorEastAsia" w:hAnsiTheme="minorEastAsia"/>
          <w:color w:val="FF0000"/>
          <w:sz w:val="24"/>
          <w:szCs w:val="24"/>
        </w:rPr>
        <w:t>6.</w:t>
      </w:r>
      <w:r>
        <w:rPr>
          <w:rFonts w:hint="eastAsia" w:asciiTheme="minorEastAsia" w:hAnsiTheme="minorEastAsia"/>
          <w:color w:val="FF0000"/>
          <w:sz w:val="24"/>
          <w:szCs w:val="24"/>
        </w:rPr>
        <w:t xml:space="preserve"> 我院由体外诊断试剂IVD集中供应服务商进行试剂和耗材的集中管理，积极配合院方完成相关工作。</w:t>
      </w:r>
    </w:p>
    <w:p>
      <w:pPr>
        <w:spacing w:line="300"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7</w:t>
      </w:r>
      <w:r>
        <w:rPr>
          <w:rFonts w:hint="eastAsia" w:asciiTheme="minorEastAsia" w:hAnsiTheme="minorEastAsia"/>
          <w:sz w:val="24"/>
          <w:szCs w:val="24"/>
        </w:rPr>
        <w:t>．报价一览表（公司须按照如下报价要求进行报价）</w:t>
      </w:r>
    </w:p>
    <w:p>
      <w:pPr>
        <w:spacing w:line="300" w:lineRule="auto"/>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asciiTheme="minorEastAsia" w:hAnsiTheme="minorEastAsia"/>
          <w:sz w:val="24"/>
          <w:szCs w:val="24"/>
        </w:rPr>
      </w:pPr>
    </w:p>
    <w:tbl>
      <w:tblPr>
        <w:tblStyle w:val="9"/>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sz w:val="22"/>
              </w:rPr>
            </w:pPr>
            <w:r>
              <w:rPr>
                <w:rFonts w:hint="eastAsia" w:ascii="宋体" w:hAnsi="宋体"/>
                <w:sz w:val="22"/>
              </w:rPr>
              <w:t>序号</w:t>
            </w:r>
          </w:p>
        </w:tc>
        <w:tc>
          <w:tcPr>
            <w:tcW w:w="471" w:type="dxa"/>
            <w:vMerge w:val="restart"/>
          </w:tcPr>
          <w:p>
            <w:pPr>
              <w:jc w:val="center"/>
              <w:rPr>
                <w:rFonts w:ascii="宋体" w:hAnsi="宋体"/>
                <w:sz w:val="22"/>
              </w:rPr>
            </w:pPr>
            <w:r>
              <w:rPr>
                <w:rFonts w:hint="eastAsia" w:ascii="宋体" w:hAnsi="宋体"/>
                <w:sz w:val="22"/>
              </w:rPr>
              <w:t>项目名称</w:t>
            </w:r>
          </w:p>
        </w:tc>
        <w:tc>
          <w:tcPr>
            <w:tcW w:w="471" w:type="dxa"/>
            <w:vMerge w:val="restart"/>
          </w:tcPr>
          <w:p>
            <w:pPr>
              <w:jc w:val="center"/>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widowControl/>
              <w:jc w:val="center"/>
              <w:rPr>
                <w:rFonts w:ascii="宋体" w:hAnsi="宋体"/>
                <w:sz w:val="22"/>
              </w:rPr>
            </w:pPr>
            <w:r>
              <w:rPr>
                <w:rFonts w:hint="eastAsia" w:ascii="宋体" w:hAnsi="宋体"/>
                <w:sz w:val="22"/>
              </w:rPr>
              <w:t>投标试剂注册证名称</w:t>
            </w:r>
          </w:p>
        </w:tc>
        <w:tc>
          <w:tcPr>
            <w:tcW w:w="1308" w:type="dxa"/>
            <w:gridSpan w:val="3"/>
            <w:vAlign w:val="center"/>
          </w:tcPr>
          <w:p>
            <w:pPr>
              <w:widowControl/>
              <w:jc w:val="center"/>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widowControl/>
              <w:jc w:val="center"/>
              <w:rPr>
                <w:rFonts w:ascii="宋体" w:hAnsi="宋体"/>
                <w:sz w:val="22"/>
              </w:rPr>
            </w:pPr>
            <w:r>
              <w:rPr>
                <w:rFonts w:hint="eastAsia" w:ascii="宋体" w:hAnsi="宋体"/>
                <w:sz w:val="22"/>
              </w:rPr>
              <w:t>试剂规格（按注册证填写）</w:t>
            </w:r>
          </w:p>
        </w:tc>
        <w:tc>
          <w:tcPr>
            <w:tcW w:w="609" w:type="dxa"/>
            <w:vMerge w:val="restart"/>
          </w:tcPr>
          <w:p>
            <w:pPr>
              <w:widowControl/>
              <w:spacing w:line="252" w:lineRule="atLeast"/>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widowControl/>
              <w:jc w:val="center"/>
              <w:rPr>
                <w:rFonts w:ascii="宋体" w:hAnsi="宋体"/>
                <w:sz w:val="22"/>
              </w:rPr>
            </w:pPr>
            <w:r>
              <w:rPr>
                <w:rFonts w:hint="eastAsia" w:ascii="宋体" w:hAnsi="宋体"/>
                <w:sz w:val="22"/>
              </w:rPr>
              <w:t>生产厂家名称</w:t>
            </w:r>
          </w:p>
        </w:tc>
        <w:tc>
          <w:tcPr>
            <w:tcW w:w="662" w:type="dxa"/>
            <w:vMerge w:val="restart"/>
            <w:vAlign w:val="center"/>
          </w:tcPr>
          <w:p>
            <w:pPr>
              <w:widowControl/>
              <w:jc w:val="center"/>
              <w:rPr>
                <w:rFonts w:ascii="宋体" w:hAnsi="宋体"/>
                <w:sz w:val="22"/>
              </w:rPr>
            </w:pPr>
            <w:r>
              <w:rPr>
                <w:rFonts w:hint="eastAsia" w:ascii="宋体" w:hAnsi="宋体"/>
                <w:sz w:val="22"/>
              </w:rPr>
              <w:t>最小订货单元报价（元/盒等）</w:t>
            </w:r>
          </w:p>
        </w:tc>
        <w:tc>
          <w:tcPr>
            <w:tcW w:w="695" w:type="dxa"/>
            <w:vMerge w:val="restart"/>
            <w:vAlign w:val="center"/>
          </w:tcPr>
          <w:p>
            <w:pPr>
              <w:widowControl/>
              <w:jc w:val="center"/>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spacing w:line="360" w:lineRule="auto"/>
              <w:jc w:val="center"/>
              <w:rPr>
                <w:rFonts w:ascii="宋体" w:hAnsi="宋体"/>
                <w:sz w:val="22"/>
              </w:rPr>
            </w:pPr>
            <w:r>
              <w:rPr>
                <w:rFonts w:hint="eastAsia" w:ascii="宋体" w:hAnsi="宋体"/>
                <w:sz w:val="22"/>
              </w:rPr>
              <w:t>项目收费代码</w:t>
            </w:r>
          </w:p>
        </w:tc>
        <w:tc>
          <w:tcPr>
            <w:tcW w:w="508" w:type="dxa"/>
            <w:vMerge w:val="restart"/>
            <w:vAlign w:val="center"/>
          </w:tcPr>
          <w:p>
            <w:pPr>
              <w:spacing w:line="360" w:lineRule="auto"/>
              <w:rPr>
                <w:rFonts w:ascii="宋体" w:hAnsi="宋体"/>
                <w:sz w:val="22"/>
              </w:rPr>
            </w:pPr>
            <w:r>
              <w:rPr>
                <w:rFonts w:hint="eastAsia" w:ascii="宋体" w:hAnsi="宋体"/>
                <w:sz w:val="22"/>
              </w:rPr>
              <w:t>项目收费名称</w:t>
            </w:r>
          </w:p>
        </w:tc>
        <w:tc>
          <w:tcPr>
            <w:tcW w:w="659" w:type="dxa"/>
            <w:vMerge w:val="restart"/>
            <w:vAlign w:val="center"/>
          </w:tcPr>
          <w:p>
            <w:pPr>
              <w:spacing w:line="360" w:lineRule="auto"/>
              <w:jc w:val="center"/>
              <w:rPr>
                <w:rFonts w:ascii="宋体" w:hAnsi="宋体"/>
                <w:sz w:val="22"/>
              </w:rPr>
            </w:pPr>
            <w:r>
              <w:rPr>
                <w:rFonts w:hint="eastAsia" w:ascii="宋体" w:hAnsi="宋体"/>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vAlign w:val="center"/>
          </w:tcPr>
          <w:p>
            <w:pPr>
              <w:widowControl/>
              <w:jc w:val="center"/>
              <w:rPr>
                <w:rFonts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ascii="宋体" w:hAnsi="宋体"/>
                <w:color w:val="000000"/>
                <w:sz w:val="22"/>
              </w:rPr>
            </w:pPr>
          </w:p>
        </w:tc>
        <w:tc>
          <w:tcPr>
            <w:tcW w:w="609" w:type="dxa"/>
            <w:vMerge w:val="continue"/>
            <w:vAlign w:val="center"/>
          </w:tcPr>
          <w:p>
            <w:pPr>
              <w:widowControl/>
              <w:jc w:val="center"/>
              <w:rPr>
                <w:rFonts w:ascii="宋体" w:hAnsi="宋体"/>
                <w:color w:val="000000"/>
                <w:sz w:val="22"/>
              </w:rPr>
            </w:pPr>
          </w:p>
        </w:tc>
        <w:tc>
          <w:tcPr>
            <w:tcW w:w="378" w:type="dxa"/>
            <w:vMerge w:val="continue"/>
            <w:vAlign w:val="center"/>
          </w:tcPr>
          <w:p>
            <w:pPr>
              <w:widowControl/>
              <w:jc w:val="center"/>
              <w:rPr>
                <w:rFonts w:ascii="宋体" w:hAnsi="宋体"/>
                <w:color w:val="000000"/>
                <w:sz w:val="22"/>
              </w:rPr>
            </w:pPr>
          </w:p>
        </w:tc>
        <w:tc>
          <w:tcPr>
            <w:tcW w:w="662" w:type="dxa"/>
            <w:vMerge w:val="continue"/>
            <w:vAlign w:val="center"/>
          </w:tcPr>
          <w:p>
            <w:pPr>
              <w:widowControl/>
              <w:jc w:val="center"/>
              <w:rPr>
                <w:rFonts w:ascii="宋体" w:hAnsi="宋体"/>
                <w:color w:val="000000"/>
                <w:sz w:val="22"/>
              </w:rPr>
            </w:pPr>
          </w:p>
        </w:tc>
        <w:tc>
          <w:tcPr>
            <w:tcW w:w="695"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510" w:type="dxa"/>
            <w:vMerge w:val="continue"/>
            <w:vAlign w:val="center"/>
          </w:tcPr>
          <w:p>
            <w:pPr>
              <w:spacing w:line="360" w:lineRule="auto"/>
              <w:jc w:val="center"/>
              <w:rPr>
                <w:rFonts w:ascii="宋体" w:hAnsi="宋体"/>
                <w:color w:val="000000"/>
                <w:sz w:val="22"/>
              </w:rPr>
            </w:pPr>
          </w:p>
        </w:tc>
        <w:tc>
          <w:tcPr>
            <w:tcW w:w="508" w:type="dxa"/>
            <w:vMerge w:val="continue"/>
            <w:vAlign w:val="center"/>
          </w:tcPr>
          <w:p>
            <w:pPr>
              <w:spacing w:line="360" w:lineRule="auto"/>
              <w:rPr>
                <w:rFonts w:ascii="宋体" w:hAnsi="宋体"/>
                <w:color w:val="000000"/>
                <w:sz w:val="22"/>
              </w:rPr>
            </w:pPr>
          </w:p>
        </w:tc>
        <w:tc>
          <w:tcPr>
            <w:tcW w:w="659" w:type="dxa"/>
            <w:vMerge w:val="continue"/>
            <w:vAlign w:val="center"/>
          </w:tcPr>
          <w:p>
            <w:pPr>
              <w:spacing w:line="360" w:lineRule="auto"/>
              <w:jc w:val="center"/>
              <w:rPr>
                <w:rFonts w:ascii="宋体" w:hAnsi="宋体"/>
                <w:color w:val="000000"/>
                <w:sz w:val="22"/>
              </w:rPr>
            </w:pPr>
          </w:p>
        </w:tc>
        <w:tc>
          <w:tcPr>
            <w:tcW w:w="712" w:type="dxa"/>
            <w:vMerge w:val="continue"/>
            <w:vAlign w:val="center"/>
          </w:tcPr>
          <w:p>
            <w:pPr>
              <w:widowControl/>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ascii="宋体" w:hAnsi="宋体" w:eastAsia="宋体" w:cs="宋体"/>
          <w:kern w:val="0"/>
          <w:szCs w:val="21"/>
        </w:rPr>
      </w:pPr>
    </w:p>
    <w:p>
      <w:pPr>
        <w:spacing w:line="300" w:lineRule="auto"/>
        <w:rPr>
          <w:rFonts w:asciiTheme="minorEastAsia" w:hAnsiTheme="minorEastAsia"/>
          <w:sz w:val="24"/>
          <w:szCs w:val="24"/>
        </w:rPr>
      </w:pPr>
      <w:r>
        <w:rPr>
          <w:rFonts w:hint="eastAsia" w:asciiTheme="minorEastAsia" w:hAnsiTheme="minorEastAsia"/>
          <w:sz w:val="24"/>
          <w:szCs w:val="24"/>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spacing w:line="300" w:lineRule="auto"/>
        <w:rPr>
          <w:rFonts w:asciiTheme="minorEastAsia" w:hAnsiTheme="minorEastAsia"/>
          <w:sz w:val="24"/>
          <w:szCs w:val="24"/>
        </w:rPr>
      </w:pPr>
      <w:r>
        <w:rPr>
          <w:rFonts w:hint="eastAsia" w:asciiTheme="minorEastAsia" w:hAnsiTheme="minorEastAsia"/>
          <w:sz w:val="24"/>
          <w:szCs w:val="24"/>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密封处加盖公司骑缝公章,且非格式报价单、开口报价单均无效,不符合以上要求的资料一律作为无效资料处理,不具备遴选资格。</w:t>
      </w:r>
    </w:p>
    <w:p>
      <w:pPr>
        <w:spacing w:line="300" w:lineRule="auto"/>
        <w:rPr>
          <w:rFonts w:asciiTheme="minorEastAsia" w:hAnsiTheme="minorEastAsia"/>
          <w:sz w:val="24"/>
          <w:szCs w:val="24"/>
        </w:rPr>
      </w:pPr>
      <w:r>
        <w:rPr>
          <w:rFonts w:hint="eastAsia" w:asciiTheme="minorEastAsia" w:hAnsiTheme="minorEastAsia"/>
          <w:sz w:val="24"/>
          <w:szCs w:val="24"/>
        </w:rPr>
        <w:t>六、供应期限：遴选最终确定的产品，供应产品质量及服务达到要求的，供应期限为36个月。</w:t>
      </w:r>
    </w:p>
    <w:p>
      <w:pPr>
        <w:spacing w:line="300" w:lineRule="auto"/>
        <w:rPr>
          <w:rFonts w:asciiTheme="minorEastAsia" w:hAnsiTheme="minorEastAsia"/>
          <w:sz w:val="24"/>
          <w:szCs w:val="24"/>
        </w:rPr>
      </w:pPr>
      <w:r>
        <w:rPr>
          <w:rFonts w:hint="eastAsia" w:asciiTheme="minorEastAsia" w:hAnsiTheme="minorEastAsia"/>
          <w:sz w:val="24"/>
          <w:szCs w:val="24"/>
        </w:rPr>
        <w:t>七、付款周期：对账日期后3个月。</w:t>
      </w:r>
    </w:p>
    <w:p>
      <w:pPr>
        <w:spacing w:line="300" w:lineRule="auto"/>
        <w:rPr>
          <w:rFonts w:asciiTheme="minorEastAsia" w:hAnsiTheme="minorEastAsia"/>
          <w:sz w:val="24"/>
          <w:szCs w:val="24"/>
        </w:rPr>
      </w:pPr>
      <w:r>
        <w:rPr>
          <w:rFonts w:hint="eastAsia" w:asciiTheme="minorEastAsia" w:hAnsiTheme="minorEastAsia"/>
          <w:sz w:val="24"/>
          <w:szCs w:val="24"/>
        </w:rPr>
        <w:t>八、特别备注：由于遴选试剂不能单独完成应用或检测要求的，或与甲方现有设备不相兼容的，经双方协商，乙方需提供完成检查检测的相关设备及附件。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开标日期及地点</w:t>
      </w:r>
    </w:p>
    <w:p>
      <w:pPr>
        <w:widowControl/>
        <w:wordWrap w:val="0"/>
        <w:spacing w:line="440" w:lineRule="exact"/>
        <w:ind w:firstLine="480" w:firstLineChars="200"/>
        <w:rPr>
          <w:rFonts w:ascii="宋体" w:hAnsi="宋体" w:eastAsia="宋体" w:cs="宋体"/>
          <w:b/>
          <w:bCs/>
          <w:color w:val="000000"/>
          <w:kern w:val="0"/>
          <w:sz w:val="24"/>
          <w:szCs w:val="24"/>
        </w:rPr>
      </w:pPr>
      <w:r>
        <w:rPr>
          <w:rFonts w:hint="eastAsia" w:ascii="宋体" w:hAnsi="宋体" w:eastAsia="宋体" w:cs="宋体"/>
          <w:color w:val="333333"/>
          <w:sz w:val="24"/>
          <w:szCs w:val="24"/>
          <w:shd w:val="clear" w:color="auto" w:fill="FFFFFF"/>
        </w:rPr>
        <w:t>根据疫情防控形势变化和医院疫情防控要求，取消近期遴选项目的现场开标，欲参与投标公司请在网上报名</w:t>
      </w:r>
      <w:r>
        <w:rPr>
          <w:rFonts w:hint="eastAsia"/>
          <w:color w:val="FF0000"/>
          <w:sz w:val="24"/>
          <w:szCs w:val="24"/>
          <w:u w:val="single"/>
        </w:rPr>
        <w:t>https://www.wjx.cn/vm/PLiAxrD.aspx</w:t>
      </w:r>
      <w:r>
        <w:rPr>
          <w:rFonts w:hint="eastAsia" w:ascii="宋体" w:hAnsi="宋体" w:eastAsia="宋体" w:cs="宋体"/>
          <w:color w:val="333333"/>
          <w:sz w:val="24"/>
          <w:szCs w:val="24"/>
          <w:shd w:val="clear" w:color="auto" w:fill="FFFFFF"/>
        </w:rPr>
        <w:t>，并以快递形式进行投标，邮寄地址：上海市普陀区泸定路355号上海市儿童医院，联系人：郑老师 17317523703，截止时间：</w:t>
      </w:r>
      <w:r>
        <w:rPr>
          <w:rFonts w:hint="eastAsia" w:ascii="宋体" w:hAnsi="宋体" w:eastAsia="宋体" w:cs="宋体"/>
          <w:i w:val="0"/>
          <w:iCs w:val="0"/>
          <w:caps w:val="0"/>
          <w:color w:val="333333"/>
          <w:spacing w:val="0"/>
          <w:sz w:val="24"/>
          <w:szCs w:val="24"/>
          <w:u w:val="none"/>
          <w:shd w:val="clear" w:fill="FFFFFF"/>
          <w:lang w:eastAsia="zh-CN"/>
        </w:rPr>
        <w:t>2022</w:t>
      </w:r>
      <w:r>
        <w:rPr>
          <w:rFonts w:hint="eastAsia" w:ascii="宋体" w:hAnsi="宋体" w:eastAsia="宋体" w:cs="宋体"/>
          <w:i w:val="0"/>
          <w:iCs w:val="0"/>
          <w:caps w:val="0"/>
          <w:color w:val="333333"/>
          <w:spacing w:val="0"/>
          <w:sz w:val="24"/>
          <w:szCs w:val="24"/>
          <w:u w:val="none"/>
          <w:shd w:val="clear" w:fill="FFFFFF"/>
        </w:rPr>
        <w:t>年</w:t>
      </w:r>
      <w:r>
        <w:rPr>
          <w:rFonts w:hint="eastAsia" w:ascii="宋体" w:hAnsi="宋体" w:eastAsia="宋体" w:cs="宋体"/>
          <w:i w:val="0"/>
          <w:iCs w:val="0"/>
          <w:caps w:val="0"/>
          <w:color w:val="333333"/>
          <w:spacing w:val="0"/>
          <w:sz w:val="24"/>
          <w:szCs w:val="24"/>
          <w:u w:val="none"/>
          <w:shd w:val="clear" w:fill="FFFFFF"/>
          <w:lang w:val="en-US" w:eastAsia="zh-CN"/>
        </w:rPr>
        <w:t>07</w:t>
      </w:r>
      <w:r>
        <w:rPr>
          <w:rFonts w:hint="eastAsia" w:ascii="宋体" w:hAnsi="宋体" w:eastAsia="宋体" w:cs="宋体"/>
          <w:i w:val="0"/>
          <w:iCs w:val="0"/>
          <w:caps w:val="0"/>
          <w:color w:val="333333"/>
          <w:spacing w:val="0"/>
          <w:sz w:val="24"/>
          <w:szCs w:val="24"/>
          <w:u w:val="none"/>
          <w:shd w:val="clear" w:fill="FFFFFF"/>
        </w:rPr>
        <w:t>月</w:t>
      </w:r>
      <w:r>
        <w:rPr>
          <w:rFonts w:hint="eastAsia" w:ascii="宋体" w:hAnsi="宋体" w:eastAsia="宋体" w:cs="宋体"/>
          <w:i w:val="0"/>
          <w:iCs w:val="0"/>
          <w:caps w:val="0"/>
          <w:color w:val="333333"/>
          <w:spacing w:val="0"/>
          <w:sz w:val="24"/>
          <w:szCs w:val="24"/>
          <w:u w:val="none"/>
          <w:shd w:val="clear" w:fill="FFFFFF"/>
          <w:lang w:val="en-US" w:eastAsia="zh-CN"/>
        </w:rPr>
        <w:t>11</w:t>
      </w:r>
      <w:r>
        <w:rPr>
          <w:rFonts w:hint="eastAsia" w:ascii="宋体" w:hAnsi="宋体" w:eastAsia="宋体" w:cs="宋体"/>
          <w:i w:val="0"/>
          <w:iCs w:val="0"/>
          <w:caps w:val="0"/>
          <w:color w:val="333333"/>
          <w:spacing w:val="0"/>
          <w:sz w:val="24"/>
          <w:szCs w:val="24"/>
          <w:u w:val="none"/>
          <w:shd w:val="clear" w:fill="FFFFFF"/>
        </w:rPr>
        <w:t>日</w:t>
      </w:r>
      <w:r>
        <w:rPr>
          <w:rFonts w:hint="eastAsia" w:ascii="宋体" w:hAnsi="宋体" w:eastAsia="宋体" w:cs="宋体"/>
          <w:i w:val="0"/>
          <w:iCs w:val="0"/>
          <w:caps w:val="0"/>
          <w:color w:val="333333"/>
          <w:spacing w:val="0"/>
          <w:sz w:val="24"/>
          <w:szCs w:val="24"/>
          <w:u w:val="none"/>
          <w:shd w:val="clear" w:fill="FFFFFF"/>
          <w:lang w:val="en-US" w:eastAsia="zh-CN"/>
        </w:rPr>
        <w:t>12</w:t>
      </w:r>
      <w:r>
        <w:rPr>
          <w:rFonts w:hint="eastAsia" w:ascii="宋体" w:hAnsi="宋体" w:eastAsia="宋体" w:cs="宋体"/>
          <w:i w:val="0"/>
          <w:iCs w:val="0"/>
          <w:caps w:val="0"/>
          <w:color w:val="333333"/>
          <w:spacing w:val="0"/>
          <w:sz w:val="24"/>
          <w:szCs w:val="24"/>
          <w:u w:val="none"/>
          <w:shd w:val="clear" w:fill="FFFFFF"/>
        </w:rPr>
        <w:t>:</w:t>
      </w:r>
      <w:r>
        <w:rPr>
          <w:rFonts w:hint="eastAsia" w:ascii="宋体" w:hAnsi="宋体" w:eastAsia="宋体" w:cs="宋体"/>
          <w:i w:val="0"/>
          <w:iCs w:val="0"/>
          <w:caps w:val="0"/>
          <w:color w:val="333333"/>
          <w:spacing w:val="0"/>
          <w:sz w:val="24"/>
          <w:szCs w:val="24"/>
          <w:u w:val="none"/>
          <w:shd w:val="clear" w:fill="FFFFFF"/>
          <w:lang w:val="en-US" w:eastAsia="zh-CN"/>
        </w:rPr>
        <w:t>00</w:t>
      </w:r>
    </w:p>
    <w:p>
      <w:pPr>
        <w:widowControl/>
        <w:wordWrap w:val="0"/>
        <w:spacing w:line="440" w:lineRule="exact"/>
        <w:rPr>
          <w:color w:val="FF0000"/>
          <w:sz w:val="24"/>
          <w:szCs w:val="24"/>
        </w:rPr>
      </w:pPr>
      <w:r>
        <w:rPr>
          <w:rFonts w:hint="eastAsia"/>
          <w:color w:val="FF0000"/>
          <w:sz w:val="24"/>
          <w:szCs w:val="24"/>
        </w:rPr>
        <w:t xml:space="preserve">    ★注意事项：</w:t>
      </w:r>
    </w:p>
    <w:p>
      <w:pPr>
        <w:widowControl/>
        <w:wordWrap w:val="0"/>
        <w:spacing w:line="440" w:lineRule="exact"/>
        <w:ind w:firstLine="240" w:firstLineChars="100"/>
        <w:rPr>
          <w:color w:val="FF0000"/>
          <w:sz w:val="24"/>
          <w:szCs w:val="24"/>
        </w:rPr>
      </w:pPr>
      <w:r>
        <w:rPr>
          <w:rFonts w:hint="eastAsia"/>
          <w:color w:val="FF0000"/>
          <w:sz w:val="24"/>
          <w:szCs w:val="24"/>
        </w:rPr>
        <w:t xml:space="preserve">（1）投标方代表严格遵守快递投标时间，遴选文件必须排版胶装并以档案袋密封,密封处加盖公司骑缝公章,非格式报价单、开口报价单均无效,不符合以上要求均视为无效投标,不具备遴选资格。 </w:t>
      </w:r>
    </w:p>
    <w:p>
      <w:pPr>
        <w:widowControl/>
        <w:wordWrap w:val="0"/>
        <w:spacing w:line="440" w:lineRule="exact"/>
        <w:ind w:firstLine="240" w:firstLineChars="100"/>
        <w:rPr>
          <w:color w:val="FF0000"/>
          <w:sz w:val="24"/>
          <w:szCs w:val="24"/>
        </w:rPr>
      </w:pPr>
      <w:r>
        <w:rPr>
          <w:rFonts w:hint="eastAsia"/>
          <w:color w:val="FF0000"/>
          <w:sz w:val="24"/>
          <w:szCs w:val="24"/>
        </w:rPr>
        <w:t>（2）遴选响应文件的份数：纸质正本1份，电子版1份（1.全套投标文件正本（加盖公章） ：PDF格式扫描件；2. 遴选采购报价表、技术偏离表：excel版本，电子版请</w:t>
      </w:r>
      <w:r>
        <w:rPr>
          <w:rFonts w:hint="eastAsia" w:ascii="宋体" w:hAnsi="宋体" w:eastAsia="宋体" w:cs="宋体"/>
          <w:color w:val="FF0000"/>
          <w:sz w:val="24"/>
          <w:szCs w:val="24"/>
          <w:shd w:val="clear" w:color="auto" w:fill="FFFFFF"/>
        </w:rPr>
        <w:t>按照“遴选编号-包件号-项目名称-公司名称投标文件”命名，</w:t>
      </w:r>
      <w:r>
        <w:rPr>
          <w:rFonts w:hint="eastAsia"/>
          <w:color w:val="FF0000"/>
          <w:sz w:val="24"/>
          <w:szCs w:val="24"/>
        </w:rPr>
        <w:t>于投标截止时间次日发送至邮箱</w:t>
      </w:r>
      <w:r>
        <w:fldChar w:fldCharType="begin"/>
      </w:r>
      <w:r>
        <w:instrText xml:space="preserve"> HYPERLINK "mailto:xuml@shchildren.com.cn" </w:instrText>
      </w:r>
      <w:r>
        <w:fldChar w:fldCharType="separate"/>
      </w:r>
      <w:r>
        <w:rPr>
          <w:rFonts w:hint="eastAsia"/>
          <w:color w:val="FF0000"/>
          <w:sz w:val="24"/>
          <w:szCs w:val="24"/>
        </w:rPr>
        <w:t>zhenglin@shchildren.com.cn</w:t>
      </w:r>
      <w:r>
        <w:rPr>
          <w:rFonts w:hint="eastAsia"/>
          <w:color w:val="FF0000"/>
          <w:sz w:val="24"/>
          <w:szCs w:val="24"/>
        </w:rPr>
        <w:fldChar w:fldCharType="end"/>
      </w:r>
      <w:r>
        <w:rPr>
          <w:rFonts w:hint="eastAsia"/>
          <w:color w:val="FF0000"/>
          <w:sz w:val="24"/>
          <w:szCs w:val="24"/>
        </w:rPr>
        <w:t>）。</w:t>
      </w:r>
    </w:p>
    <w:p>
      <w:pPr>
        <w:widowControl/>
        <w:wordWrap w:val="0"/>
        <w:spacing w:line="193" w:lineRule="atLeast"/>
        <w:rPr>
          <w:color w:val="FF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276A6"/>
    <w:multiLevelType w:val="singleLevel"/>
    <w:tmpl w:val="E69276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F28AB"/>
    <w:rsid w:val="0071743D"/>
    <w:rsid w:val="0074080D"/>
    <w:rsid w:val="00751C43"/>
    <w:rsid w:val="00754398"/>
    <w:rsid w:val="007631FF"/>
    <w:rsid w:val="007967C2"/>
    <w:rsid w:val="00801135"/>
    <w:rsid w:val="00842BD0"/>
    <w:rsid w:val="00870F03"/>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23820D4"/>
    <w:rsid w:val="052E38E1"/>
    <w:rsid w:val="06456F2F"/>
    <w:rsid w:val="06AE7D15"/>
    <w:rsid w:val="06E077D2"/>
    <w:rsid w:val="0716207E"/>
    <w:rsid w:val="075F4276"/>
    <w:rsid w:val="07C30482"/>
    <w:rsid w:val="093D185A"/>
    <w:rsid w:val="09B8083D"/>
    <w:rsid w:val="0B3D54C6"/>
    <w:rsid w:val="0BD151AB"/>
    <w:rsid w:val="0D5170BE"/>
    <w:rsid w:val="0E532263"/>
    <w:rsid w:val="10C91DD2"/>
    <w:rsid w:val="10FA49AA"/>
    <w:rsid w:val="11114207"/>
    <w:rsid w:val="11711B25"/>
    <w:rsid w:val="129206FB"/>
    <w:rsid w:val="14DC1B42"/>
    <w:rsid w:val="166D01D8"/>
    <w:rsid w:val="16C30F0C"/>
    <w:rsid w:val="17365260"/>
    <w:rsid w:val="1790318F"/>
    <w:rsid w:val="17F96A38"/>
    <w:rsid w:val="18717308"/>
    <w:rsid w:val="18B34AB1"/>
    <w:rsid w:val="1926004F"/>
    <w:rsid w:val="1A5C4D89"/>
    <w:rsid w:val="1A8E11FB"/>
    <w:rsid w:val="1AAD44D4"/>
    <w:rsid w:val="1B8D049E"/>
    <w:rsid w:val="1BD210C1"/>
    <w:rsid w:val="1BE71836"/>
    <w:rsid w:val="1C085564"/>
    <w:rsid w:val="1CE23E5A"/>
    <w:rsid w:val="1DBF4DF8"/>
    <w:rsid w:val="1FE07BE7"/>
    <w:rsid w:val="202E30FB"/>
    <w:rsid w:val="20BD5BD5"/>
    <w:rsid w:val="214C5AEE"/>
    <w:rsid w:val="21F021D2"/>
    <w:rsid w:val="235D481E"/>
    <w:rsid w:val="23B63AF4"/>
    <w:rsid w:val="23E834D5"/>
    <w:rsid w:val="25B90B77"/>
    <w:rsid w:val="2A0A052A"/>
    <w:rsid w:val="2B08526E"/>
    <w:rsid w:val="2C0606D5"/>
    <w:rsid w:val="2C862048"/>
    <w:rsid w:val="2D480748"/>
    <w:rsid w:val="2E4E2C28"/>
    <w:rsid w:val="2EC155DB"/>
    <w:rsid w:val="30806547"/>
    <w:rsid w:val="313E4C29"/>
    <w:rsid w:val="323A48DC"/>
    <w:rsid w:val="32E1056F"/>
    <w:rsid w:val="3301085B"/>
    <w:rsid w:val="34E42337"/>
    <w:rsid w:val="34EF0B8D"/>
    <w:rsid w:val="35D5013C"/>
    <w:rsid w:val="35E72D81"/>
    <w:rsid w:val="36ED1E34"/>
    <w:rsid w:val="3A3662F3"/>
    <w:rsid w:val="3A9F3E75"/>
    <w:rsid w:val="3AC3027E"/>
    <w:rsid w:val="3B595FFE"/>
    <w:rsid w:val="3BD5458B"/>
    <w:rsid w:val="3CBB5598"/>
    <w:rsid w:val="3D7831DE"/>
    <w:rsid w:val="3DA71EFB"/>
    <w:rsid w:val="3E4B04D0"/>
    <w:rsid w:val="3EEE4FED"/>
    <w:rsid w:val="3FE35A0C"/>
    <w:rsid w:val="40214546"/>
    <w:rsid w:val="411F46A5"/>
    <w:rsid w:val="413B181B"/>
    <w:rsid w:val="41E51367"/>
    <w:rsid w:val="42EA1B55"/>
    <w:rsid w:val="43BF292A"/>
    <w:rsid w:val="44CF3F6B"/>
    <w:rsid w:val="4551058A"/>
    <w:rsid w:val="46E77B6B"/>
    <w:rsid w:val="4747106E"/>
    <w:rsid w:val="483A1969"/>
    <w:rsid w:val="4BC24A77"/>
    <w:rsid w:val="4C1B3BB0"/>
    <w:rsid w:val="4DFA7795"/>
    <w:rsid w:val="4EC053BC"/>
    <w:rsid w:val="50BF3F80"/>
    <w:rsid w:val="51D65A91"/>
    <w:rsid w:val="53FD3ABD"/>
    <w:rsid w:val="54BD7E54"/>
    <w:rsid w:val="554E62C0"/>
    <w:rsid w:val="55EB7211"/>
    <w:rsid w:val="571B542D"/>
    <w:rsid w:val="576E7689"/>
    <w:rsid w:val="5C3D1857"/>
    <w:rsid w:val="5D126255"/>
    <w:rsid w:val="5DE078E6"/>
    <w:rsid w:val="603C1320"/>
    <w:rsid w:val="61191A11"/>
    <w:rsid w:val="633A46C6"/>
    <w:rsid w:val="64FE099A"/>
    <w:rsid w:val="65752D20"/>
    <w:rsid w:val="657A17B8"/>
    <w:rsid w:val="668E26A7"/>
    <w:rsid w:val="67CF1147"/>
    <w:rsid w:val="6800057A"/>
    <w:rsid w:val="6E487369"/>
    <w:rsid w:val="6E7F33F8"/>
    <w:rsid w:val="6F2B4343"/>
    <w:rsid w:val="70214F89"/>
    <w:rsid w:val="705A4DB9"/>
    <w:rsid w:val="70B31796"/>
    <w:rsid w:val="714323EA"/>
    <w:rsid w:val="7349268D"/>
    <w:rsid w:val="73904617"/>
    <w:rsid w:val="73966EBB"/>
    <w:rsid w:val="745A720C"/>
    <w:rsid w:val="75E96FE4"/>
    <w:rsid w:val="75F4167C"/>
    <w:rsid w:val="784333A1"/>
    <w:rsid w:val="7A044863"/>
    <w:rsid w:val="7AF36E33"/>
    <w:rsid w:val="7BB948D7"/>
    <w:rsid w:val="7BD50615"/>
    <w:rsid w:val="7D753796"/>
    <w:rsid w:val="7ECF7E29"/>
    <w:rsid w:val="7EEC02C7"/>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u w:val="single"/>
    </w:rPr>
  </w:style>
  <w:style w:type="character" w:styleId="13">
    <w:name w:val="Emphasis"/>
    <w:basedOn w:val="10"/>
    <w:qFormat/>
    <w:uiPriority w:val="20"/>
    <w:rPr>
      <w:i/>
      <w:iCs/>
    </w:rPr>
  </w:style>
  <w:style w:type="character" w:styleId="14">
    <w:name w:val="Hyperlink"/>
    <w:basedOn w:val="10"/>
    <w:unhideWhenUsed/>
    <w:qFormat/>
    <w:uiPriority w:val="99"/>
    <w:rPr>
      <w:color w:val="0000FF"/>
      <w:u w:val="single"/>
    </w:rPr>
  </w:style>
  <w:style w:type="character" w:styleId="15">
    <w:name w:val="annotation reference"/>
    <w:semiHidden/>
    <w:qFormat/>
    <w:uiPriority w:val="0"/>
    <w:rPr>
      <w:sz w:val="21"/>
      <w:szCs w:val="21"/>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标题 1 字符"/>
    <w:basedOn w:val="10"/>
    <w:link w:val="2"/>
    <w:qFormat/>
    <w:uiPriority w:val="9"/>
    <w:rPr>
      <w:rFonts w:ascii="宋体" w:hAnsi="宋体" w:eastAsia="宋体" w:cs="宋体"/>
      <w:b/>
      <w:bCs/>
      <w:kern w:val="36"/>
      <w:sz w:val="48"/>
      <w:szCs w:val="48"/>
    </w:rPr>
  </w:style>
  <w:style w:type="character" w:customStyle="1" w:styleId="19">
    <w:name w:val="meta-date"/>
    <w:basedOn w:val="10"/>
    <w:qFormat/>
    <w:uiPriority w:val="0"/>
  </w:style>
  <w:style w:type="character" w:customStyle="1" w:styleId="20">
    <w:name w:val="meta-aname"/>
    <w:basedOn w:val="10"/>
    <w:qFormat/>
    <w:uiPriority w:val="0"/>
  </w:style>
  <w:style w:type="character" w:customStyle="1" w:styleId="21">
    <w:name w:val="批注文字 字符"/>
    <w:basedOn w:val="10"/>
    <w:link w:val="3"/>
    <w:semiHidden/>
    <w:qFormat/>
    <w:uiPriority w:val="0"/>
    <w:rPr>
      <w:rFonts w:ascii="Times New Roman" w:hAnsi="Times New Roman" w:eastAsia="宋体" w:cs="Times New Roman"/>
      <w:kern w:val="2"/>
      <w:sz w:val="21"/>
      <w:szCs w:val="24"/>
    </w:rPr>
  </w:style>
  <w:style w:type="character" w:customStyle="1" w:styleId="22">
    <w:name w:val="批注框文本 字符"/>
    <w:basedOn w:val="10"/>
    <w:link w:val="5"/>
    <w:semiHidden/>
    <w:qFormat/>
    <w:uiPriority w:val="99"/>
    <w:rPr>
      <w:kern w:val="2"/>
      <w:sz w:val="18"/>
      <w:szCs w:val="18"/>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611</Words>
  <Characters>3489</Characters>
  <Lines>29</Lines>
  <Paragraphs>8</Paragraphs>
  <TotalTime>1</TotalTime>
  <ScaleCrop>false</ScaleCrop>
  <LinksUpToDate>false</LinksUpToDate>
  <CharactersWithSpaces>4092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user</cp:lastModifiedBy>
  <dcterms:modified xsi:type="dcterms:W3CDTF">2022-07-04T08:15:41Z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5D6CB67793B84302BF715741C978912D</vt:lpwstr>
  </property>
</Properties>
</file>