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rPr>
        <w:t>NextGENe二代测序数据处理软件</w:t>
      </w: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采购项目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p>
    <w:p>
      <w:pPr>
        <w:pStyle w:val="18"/>
        <w:spacing w:line="312" w:lineRule="atLeast"/>
        <w:outlineLvl w:val="0"/>
        <w:rPr>
          <w:rFonts w:ascii="宋体" w:hAnsi="宋体" w:cs="宋体"/>
          <w:sz w:val="60"/>
          <w:szCs w:val="60"/>
        </w:rPr>
      </w:pPr>
    </w:p>
    <w:p>
      <w:pPr>
        <w:pStyle w:val="18"/>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bookmarkStart w:id="10" w:name="_GoBack"/>
      <w:bookmarkEnd w:id="10"/>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遴选编号：2022-ETLXXB-003</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06</w:t>
      </w:r>
      <w:r>
        <w:rPr>
          <w:rFonts w:hint="eastAsia" w:ascii="宋体" w:hAnsi="宋体" w:eastAsia="宋体" w:cs="宋体"/>
          <w:sz w:val="36"/>
        </w:rPr>
        <w:t>月</w:t>
      </w:r>
      <w:r>
        <w:rPr>
          <w:rFonts w:hint="eastAsia" w:ascii="宋体" w:hAnsi="宋体" w:eastAsia="宋体" w:cs="宋体"/>
          <w:sz w:val="36"/>
          <w:lang w:val="en-US" w:eastAsia="zh-CN"/>
        </w:rPr>
        <w:t>20</w:t>
      </w:r>
      <w:r>
        <w:rPr>
          <w:rFonts w:hint="eastAsia" w:ascii="宋体" w:hAnsi="宋体" w:eastAsia="宋体" w:cs="宋体"/>
          <w:sz w:val="36"/>
        </w:rPr>
        <w:t>日</w:t>
      </w: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9"/>
        <w:jc w:val="both"/>
        <w:rPr>
          <w:rFonts w:ascii="宋体" w:hAnsi="宋体" w:eastAsia="宋体" w:cs="宋体"/>
          <w:sz w:val="36"/>
        </w:rPr>
      </w:pPr>
    </w:p>
    <w:p>
      <w:pPr>
        <w:pStyle w:val="19"/>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遴选编号：2022-ETLXXB-003</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p>
    <w:p>
      <w:pPr>
        <w:pStyle w:val="20"/>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根据医院有关规定，经院主管部门批准，我院拟对NextGENe二代测序数据处理软件采购项目现以院内遴选采购的方式就下列所提供的货物和相关服务进行采购。</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2"/>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NextGENe二代测序数据处理软件</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60000.00</w:t>
            </w:r>
          </w:p>
        </w:tc>
      </w:tr>
    </w:tbl>
    <w:p>
      <w:pPr>
        <w:pStyle w:val="20"/>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0"/>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0"/>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0"/>
        <w:numPr>
          <w:ilvl w:val="0"/>
          <w:numId w:val="1"/>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日</w:t>
      </w:r>
      <w:r>
        <w:rPr>
          <w:rFonts w:hint="eastAsia" w:ascii="宋体" w:hAnsi="宋体" w:eastAsia="宋体" w:cs="宋体"/>
          <w:b/>
          <w:sz w:val="24"/>
          <w:szCs w:val="24"/>
        </w:rPr>
        <w:t>起至2022年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0"/>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6"/>
          <w:rFonts w:ascii="宋体"/>
          <w:szCs w:val="21"/>
          <w:highlight w:val="none"/>
        </w:rPr>
        <w:t>liyi@shchildren.com.cn</w:t>
      </w:r>
      <w:r>
        <w:rPr>
          <w:rStyle w:val="16"/>
          <w:rFonts w:ascii="宋体"/>
          <w:szCs w:val="21"/>
          <w:highlight w:val="none"/>
        </w:rPr>
        <w:fldChar w:fldCharType="end"/>
      </w:r>
      <w:r>
        <w:rPr>
          <w:rFonts w:hint="eastAsia" w:ascii="宋体" w:hAnsi="宋体" w:eastAsia="宋体" w:cs="宋体"/>
          <w:sz w:val="24"/>
          <w:szCs w:val="24"/>
          <w:highlight w:val="none"/>
        </w:rPr>
        <w:t>）。</w:t>
      </w:r>
    </w:p>
    <w:p>
      <w:pPr>
        <w:pStyle w:val="20"/>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0"/>
        <w:autoSpaceDE w:val="0"/>
        <w:autoSpaceDN w:val="0"/>
        <w:spacing w:line="360" w:lineRule="exact"/>
        <w:ind w:leftChars="200" w:firstLine="0"/>
        <w:rPr>
          <w:rFonts w:hint="default" w:ascii="宋体" w:hAnsi="宋体" w:eastAsia="宋体" w:cs="宋体"/>
          <w:sz w:val="24"/>
          <w:szCs w:val="24"/>
          <w:lang w:val="en-US" w:eastAsia="zh-CN"/>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w:t>
      </w:r>
      <w:r>
        <w:rPr>
          <w:rFonts w:hint="eastAsia" w:ascii="宋体" w:hAnsi="宋体" w:eastAsia="宋体" w:cs="宋体"/>
          <w:sz w:val="24"/>
          <w:szCs w:val="24"/>
          <w:lang w:val="en-US" w:eastAsia="zh-CN"/>
        </w:rPr>
        <w:t>6楼</w:t>
      </w:r>
    </w:p>
    <w:p>
      <w:pPr>
        <w:pStyle w:val="20"/>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13269250405，</w:t>
      </w:r>
      <w:r>
        <w:rPr>
          <w:rFonts w:hint="eastAsia" w:ascii="宋体" w:hAnsi="宋体" w:eastAsia="宋体" w:cs="宋体"/>
          <w:sz w:val="24"/>
          <w:szCs w:val="24"/>
        </w:rPr>
        <w:t>021-52974032</w:t>
      </w:r>
    </w:p>
    <w:bookmarkEnd w:id="6"/>
    <w:bookmarkEnd w:id="7"/>
    <w:p>
      <w:pPr>
        <w:autoSpaceDE w:val="0"/>
        <w:autoSpaceDN w:val="0"/>
        <w:spacing w:line="360" w:lineRule="exact"/>
        <w:ind w:left="1470" w:hanging="1050"/>
        <w:rPr>
          <w:rFonts w:hint="eastAsia" w:ascii="宋体" w:hAnsi="宋体" w:eastAsia="宋体" w:cs="宋体"/>
          <w:sz w:val="24"/>
          <w:lang w:eastAsia="zh-CN"/>
        </w:rPr>
      </w:pPr>
      <w:r>
        <w:rPr>
          <w:rFonts w:hint="eastAsia" w:ascii="宋体" w:hAnsi="宋体" w:cs="宋体"/>
          <w:sz w:val="24"/>
        </w:rPr>
        <w:t>联系人：李</w:t>
      </w:r>
      <w:r>
        <w:rPr>
          <w:rFonts w:hint="eastAsia" w:ascii="宋体" w:hAnsi="宋体" w:cs="宋体"/>
          <w:sz w:val="24"/>
          <w:lang w:val="en-US" w:eastAsia="zh-CN"/>
        </w:rPr>
        <w:t>老师</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6"/>
          <w:rFonts w:ascii="宋体"/>
          <w:szCs w:val="21"/>
        </w:rPr>
        <w:t>liyi@shchildren.com.cn</w:t>
      </w:r>
      <w:r>
        <w:rPr>
          <w:rFonts w:ascii="宋体"/>
          <w:szCs w:val="21"/>
        </w:rPr>
        <w:fldChar w:fldCharType="end"/>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shd w:val="clear" w:color="auto" w:fill="auto"/>
          <w:lang w:val="en-US" w:eastAsia="zh-CN"/>
        </w:rPr>
      </w:pPr>
      <w:r>
        <w:rPr>
          <w:rFonts w:hint="eastAsia"/>
          <w:shd w:val="clear" w:color="auto" w:fill="auto"/>
          <w:lang w:val="en-US" w:eastAsia="zh-CN"/>
        </w:rPr>
        <w:t>1） 根据疫情防控形势变化和医院疫情防控要求，取消近期遴选项目的现场开标，</w:t>
      </w:r>
      <w:r>
        <w:rPr>
          <w:rFonts w:hint="eastAsia"/>
          <w:u w:val="singl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5"/>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2）</w:t>
      </w:r>
      <w:r>
        <w:rPr>
          <w:rFonts w:hint="eastAsia" w:cs="宋体"/>
          <w:kern w:val="2"/>
          <w:sz w:val="24"/>
          <w:szCs w:val="24"/>
          <w:shd w:val="clear" w:color="auto" w:fill="auto"/>
          <w:lang w:val="en-US" w:eastAsia="zh-CN" w:bidi="ar-SA"/>
        </w:rPr>
        <w:t xml:space="preserve"> </w:t>
      </w:r>
      <w:r>
        <w:rPr>
          <w:rFonts w:hint="eastAsia" w:ascii="宋体" w:hAnsi="宋体" w:eastAsia="宋体" w:cs="宋体"/>
          <w:kern w:val="2"/>
          <w:sz w:val="24"/>
          <w:szCs w:val="24"/>
          <w:shd w:val="clear" w:color="auto" w:fill="auto"/>
          <w:lang w:val="en-US" w:eastAsia="zh-CN" w:bidi="ar-SA"/>
        </w:rPr>
        <w:t>所有遴选响应文件务必须排版胶装并按要求以档案袋密封后于截止时间</w:t>
      </w:r>
      <w:r>
        <w:rPr>
          <w:rFonts w:hint="eastAsia" w:ascii="宋体" w:hAnsi="宋体" w:eastAsia="宋体" w:cs="宋体"/>
          <w:kern w:val="2"/>
          <w:sz w:val="24"/>
          <w:szCs w:val="24"/>
          <w:u w:val="single"/>
          <w:shd w:val="clear" w:color="auto" w:fill="auto"/>
          <w:lang w:val="en-US" w:eastAsia="zh-CN" w:bidi="ar-SA"/>
        </w:rPr>
        <w:t>2022年</w:t>
      </w:r>
      <w:r>
        <w:rPr>
          <w:rFonts w:hint="eastAsia" w:cs="宋体"/>
          <w:kern w:val="2"/>
          <w:sz w:val="24"/>
          <w:szCs w:val="24"/>
          <w:u w:val="single"/>
          <w:shd w:val="clear" w:color="auto" w:fill="auto"/>
          <w:lang w:val="en-US" w:eastAsia="zh-CN" w:bidi="ar-SA"/>
        </w:rPr>
        <w:t>06</w:t>
      </w:r>
      <w:r>
        <w:rPr>
          <w:rFonts w:hint="eastAsia" w:ascii="宋体" w:hAnsi="宋体" w:eastAsia="宋体" w:cs="宋体"/>
          <w:kern w:val="2"/>
          <w:sz w:val="24"/>
          <w:szCs w:val="24"/>
          <w:u w:val="single"/>
          <w:shd w:val="clear" w:color="auto" w:fill="auto"/>
          <w:lang w:val="en-US" w:eastAsia="zh-CN" w:bidi="ar-SA"/>
        </w:rPr>
        <w:t>月</w:t>
      </w:r>
      <w:r>
        <w:rPr>
          <w:rFonts w:hint="eastAsia" w:cs="宋体"/>
          <w:kern w:val="2"/>
          <w:sz w:val="24"/>
          <w:szCs w:val="24"/>
          <w:u w:val="single"/>
          <w:shd w:val="clear" w:color="auto" w:fill="auto"/>
          <w:lang w:val="en-US" w:eastAsia="zh-CN" w:bidi="ar-SA"/>
        </w:rPr>
        <w:t>27</w:t>
      </w:r>
      <w:r>
        <w:rPr>
          <w:rFonts w:hint="eastAsia" w:ascii="宋体" w:hAnsi="宋体" w:eastAsia="宋体" w:cs="宋体"/>
          <w:kern w:val="2"/>
          <w:sz w:val="24"/>
          <w:szCs w:val="24"/>
          <w:u w:val="single"/>
          <w:shd w:val="clear" w:color="auto" w:fill="auto"/>
          <w:lang w:val="en-US" w:eastAsia="zh-CN" w:bidi="ar-SA"/>
        </w:rPr>
        <w:t>日北京时间1</w:t>
      </w:r>
      <w:r>
        <w:rPr>
          <w:rFonts w:hint="eastAsia" w:cs="宋体"/>
          <w:kern w:val="2"/>
          <w:sz w:val="24"/>
          <w:szCs w:val="24"/>
          <w:u w:val="single"/>
          <w:shd w:val="clear" w:color="auto" w:fill="auto"/>
          <w:lang w:val="en-US" w:eastAsia="zh-CN" w:bidi="ar-SA"/>
        </w:rPr>
        <w:t>7</w:t>
      </w:r>
      <w:r>
        <w:rPr>
          <w:rFonts w:hint="eastAsia" w:ascii="宋体" w:hAnsi="宋体" w:eastAsia="宋体" w:cs="宋体"/>
          <w:kern w:val="2"/>
          <w:sz w:val="24"/>
          <w:szCs w:val="24"/>
          <w:u w:val="single"/>
          <w:shd w:val="clear" w:color="auto" w:fill="auto"/>
          <w:lang w:val="en-US" w:eastAsia="zh-CN" w:bidi="ar-SA"/>
        </w:rPr>
        <w:t>：</w:t>
      </w:r>
      <w:r>
        <w:rPr>
          <w:rFonts w:hint="eastAsia" w:cs="宋体"/>
          <w:kern w:val="2"/>
          <w:sz w:val="24"/>
          <w:szCs w:val="24"/>
          <w:u w:val="single"/>
          <w:shd w:val="clear" w:color="auto" w:fill="auto"/>
          <w:lang w:val="en-US" w:eastAsia="zh-CN" w:bidi="ar-SA"/>
        </w:rPr>
        <w:t>0</w:t>
      </w:r>
      <w:r>
        <w:rPr>
          <w:rFonts w:hint="eastAsia" w:ascii="宋体" w:hAnsi="宋体" w:eastAsia="宋体" w:cs="宋体"/>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kern w:val="2"/>
          <w:sz w:val="24"/>
          <w:szCs w:val="24"/>
          <w:u w:val="single"/>
          <w:shd w:val="clear" w:color="auto" w:fill="auto"/>
          <w:lang w:val="en-US" w:eastAsia="zh-CN" w:bidi="ar-SA"/>
        </w:rPr>
        <w:t>上海市泸定路355号科教楼6楼采购中心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0"/>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20"/>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0"/>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50分</w:t>
            </w:r>
          </w:p>
        </w:tc>
        <w:tc>
          <w:tcPr>
            <w:tcW w:w="3434" w:type="pct"/>
            <w:vAlign w:val="center"/>
          </w:tcPr>
          <w:p>
            <w:pPr>
              <w:spacing w:line="360" w:lineRule="auto"/>
              <w:jc w:val="left"/>
              <w:rPr>
                <w:rFonts w:ascii="宋体" w:hAnsi="宋体"/>
                <w:sz w:val="24"/>
              </w:rPr>
            </w:pPr>
            <w:r>
              <w:rPr>
                <w:rFonts w:hint="eastAsia" w:ascii="宋体" w:hAnsi="宋体"/>
                <w:sz w:val="24"/>
              </w:rPr>
              <w:t>N＝50*所有投标中的有效最低投标报价/合格投标人的投标报价。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2、类似项目经验</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rPr>
                <w:rFonts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每有1个类似项目合同得1分，本项最高得分为5分。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1、需求响应情况</w:t>
            </w:r>
          </w:p>
        </w:tc>
        <w:tc>
          <w:tcPr>
            <w:tcW w:w="552" w:type="pct"/>
            <w:vAlign w:val="center"/>
          </w:tcPr>
          <w:p>
            <w:pPr>
              <w:spacing w:line="360" w:lineRule="auto"/>
              <w:jc w:val="left"/>
              <w:rPr>
                <w:rFonts w:ascii="宋体" w:hAnsi="宋体"/>
                <w:sz w:val="24"/>
              </w:rPr>
            </w:pPr>
            <w:r>
              <w:rPr>
                <w:rFonts w:hint="eastAsia" w:ascii="宋体" w:hAnsi="宋体"/>
                <w:sz w:val="24"/>
              </w:rPr>
              <w:t>20分</w:t>
            </w:r>
          </w:p>
        </w:tc>
        <w:tc>
          <w:tcPr>
            <w:tcW w:w="3434"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0"/>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8"/>
        </w:numPr>
        <w:rPr>
          <w:rFonts w:ascii="宋体" w:hAnsi="宋体" w:eastAsia="宋体" w:cs="宋体"/>
        </w:rPr>
      </w:pPr>
      <w:r>
        <w:rPr>
          <w:rFonts w:hint="eastAsia" w:ascii="宋体" w:hAnsi="宋体" w:eastAsia="宋体" w:cs="宋体"/>
        </w:rPr>
        <w:t>货物需求一览表及技术规格</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9"/>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NextGENe二代测序数据处理软件</w:t>
      </w:r>
    </w:p>
    <w:p>
      <w:pPr>
        <w:numPr>
          <w:ilvl w:val="0"/>
          <w:numId w:val="9"/>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21"/>
        <w:spacing w:line="360" w:lineRule="auto"/>
        <w:ind w:firstLine="0" w:firstLineChars="0"/>
        <w:rPr>
          <w:rFonts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合同签订后6个月</w:t>
      </w:r>
    </w:p>
    <w:p>
      <w:pPr>
        <w:spacing w:line="360" w:lineRule="auto"/>
        <w:rPr>
          <w:rFonts w:ascii="宋体" w:hAnsi="宋体" w:cs="宋体"/>
          <w:b/>
          <w:sz w:val="24"/>
        </w:rPr>
      </w:pPr>
      <w:r>
        <w:rPr>
          <w:rFonts w:hint="eastAsia" w:ascii="宋体" w:hAnsi="宋体" w:cs="宋体"/>
          <w:b/>
          <w:sz w:val="24"/>
        </w:rPr>
        <w:t>四、软件系统技术参数要求</w:t>
      </w:r>
    </w:p>
    <w:p>
      <w:pPr>
        <w:numPr>
          <w:ilvl w:val="0"/>
          <w:numId w:val="10"/>
        </w:numPr>
        <w:spacing w:before="78" w:after="78"/>
        <w:rPr>
          <w:rFonts w:ascii="宋体" w:hAnsi="宋体" w:cs="宋体"/>
          <w:sz w:val="24"/>
          <w:szCs w:val="22"/>
        </w:rPr>
      </w:pPr>
      <w:r>
        <w:rPr>
          <w:rFonts w:hint="eastAsia" w:ascii="宋体" w:hAnsi="宋体" w:cs="宋体"/>
          <w:sz w:val="24"/>
          <w:szCs w:val="22"/>
        </w:rPr>
        <w:t xml:space="preserve">招标内容 </w:t>
      </w:r>
    </w:p>
    <w:p>
      <w:pPr>
        <w:numPr>
          <w:ilvl w:val="1"/>
          <w:numId w:val="10"/>
        </w:numPr>
        <w:spacing w:before="78" w:after="78"/>
        <w:rPr>
          <w:rFonts w:ascii="宋体" w:hAnsi="宋体" w:cs="宋体"/>
          <w:sz w:val="24"/>
          <w:szCs w:val="22"/>
        </w:rPr>
      </w:pPr>
      <w:r>
        <w:rPr>
          <w:rFonts w:hint="eastAsia" w:ascii="宋体" w:hAnsi="宋体" w:cs="宋体"/>
          <w:sz w:val="24"/>
          <w:szCs w:val="22"/>
        </w:rPr>
        <w:t>NextGENe软件主要功能包括：</w:t>
      </w:r>
    </w:p>
    <w:p>
      <w:pPr>
        <w:pStyle w:val="2"/>
        <w:numPr>
          <w:ilvl w:val="0"/>
          <w:numId w:val="11"/>
        </w:numPr>
        <w:rPr>
          <w:rFonts w:ascii="宋体" w:hAnsi="宋体" w:cs="宋体"/>
          <w:sz w:val="24"/>
          <w:szCs w:val="22"/>
        </w:rPr>
      </w:pPr>
      <w:r>
        <w:rPr>
          <w:rFonts w:hint="eastAsia" w:ascii="宋体" w:hAnsi="宋体" w:cs="宋体"/>
          <w:sz w:val="24"/>
          <w:szCs w:val="22"/>
        </w:rPr>
        <w:t xml:space="preserve">支持SNP/Indel变异检测： </w:t>
      </w:r>
    </w:p>
    <w:p>
      <w:pPr>
        <w:pStyle w:val="2"/>
        <w:numPr>
          <w:ilvl w:val="1"/>
          <w:numId w:val="11"/>
        </w:numPr>
        <w:rPr>
          <w:rFonts w:ascii="宋体" w:hAnsi="宋体" w:cs="宋体"/>
          <w:sz w:val="24"/>
          <w:szCs w:val="22"/>
        </w:rPr>
      </w:pPr>
      <w:r>
        <w:rPr>
          <w:rFonts w:hint="eastAsia" w:ascii="宋体" w:hAnsi="宋体" w:cs="宋体"/>
          <w:sz w:val="24"/>
          <w:szCs w:val="22"/>
        </w:rPr>
        <w:t>生殖细胞变异检测</w:t>
      </w:r>
    </w:p>
    <w:p>
      <w:pPr>
        <w:pStyle w:val="2"/>
        <w:numPr>
          <w:ilvl w:val="1"/>
          <w:numId w:val="11"/>
        </w:numPr>
        <w:rPr>
          <w:rFonts w:ascii="宋体" w:hAnsi="宋体" w:cs="宋体"/>
          <w:sz w:val="24"/>
          <w:szCs w:val="22"/>
        </w:rPr>
      </w:pPr>
      <w:r>
        <w:rPr>
          <w:rFonts w:hint="eastAsia" w:ascii="宋体" w:hAnsi="宋体" w:cs="宋体"/>
          <w:sz w:val="24"/>
          <w:szCs w:val="22"/>
        </w:rPr>
        <w:t>体细胞变异检测</w:t>
      </w:r>
    </w:p>
    <w:p>
      <w:pPr>
        <w:pStyle w:val="2"/>
        <w:numPr>
          <w:ilvl w:val="1"/>
          <w:numId w:val="11"/>
        </w:numPr>
        <w:rPr>
          <w:rFonts w:ascii="宋体" w:hAnsi="宋体" w:cs="宋体"/>
          <w:sz w:val="24"/>
          <w:szCs w:val="22"/>
        </w:rPr>
      </w:pPr>
      <w:r>
        <w:rPr>
          <w:rFonts w:hint="eastAsia" w:ascii="宋体" w:hAnsi="宋体" w:cs="宋体"/>
          <w:sz w:val="24"/>
          <w:szCs w:val="22"/>
        </w:rPr>
        <w:t>外显子组捕获测序、全外显子组测序 (WES)变异检测</w:t>
      </w:r>
    </w:p>
    <w:p>
      <w:pPr>
        <w:pStyle w:val="2"/>
        <w:numPr>
          <w:ilvl w:val="1"/>
          <w:numId w:val="11"/>
        </w:numPr>
        <w:rPr>
          <w:rFonts w:ascii="宋体" w:hAnsi="宋体" w:cs="宋体"/>
          <w:sz w:val="24"/>
          <w:szCs w:val="22"/>
        </w:rPr>
      </w:pPr>
      <w:r>
        <w:rPr>
          <w:rFonts w:hint="eastAsia" w:ascii="宋体" w:hAnsi="宋体" w:cs="宋体"/>
          <w:sz w:val="24"/>
          <w:szCs w:val="22"/>
        </w:rPr>
        <w:t>全基因组测序（WGS）变异检测</w:t>
      </w:r>
    </w:p>
    <w:p>
      <w:pPr>
        <w:pStyle w:val="2"/>
        <w:numPr>
          <w:ilvl w:val="0"/>
          <w:numId w:val="12"/>
        </w:numPr>
        <w:rPr>
          <w:rFonts w:ascii="宋体" w:hAnsi="宋体" w:cs="宋体"/>
          <w:sz w:val="24"/>
          <w:szCs w:val="22"/>
        </w:rPr>
      </w:pPr>
      <w:r>
        <w:rPr>
          <w:rFonts w:hint="eastAsia" w:ascii="宋体" w:hAnsi="宋体" w:cs="宋体"/>
          <w:sz w:val="24"/>
          <w:szCs w:val="22"/>
        </w:rPr>
        <w:t>支持结构变异分析（包括融合基因检测）：软件可以同时将读数与基因组和转录组参考对齐。RNA 样本的读数可以更轻松地跨外显子连接对齐，从而提高断点检测的灵敏度。软件可以分析来自仪器制造商（例如 Illumina®）的下一代测序读数，以检测SV。软件还包含用于轻松分析基因融合样本的模板。</w:t>
      </w:r>
    </w:p>
    <w:p>
      <w:pPr>
        <w:pStyle w:val="2"/>
        <w:numPr>
          <w:ilvl w:val="0"/>
          <w:numId w:val="12"/>
        </w:numPr>
        <w:rPr>
          <w:rFonts w:ascii="宋体" w:hAnsi="宋体" w:cs="宋体"/>
          <w:sz w:val="24"/>
          <w:szCs w:val="22"/>
        </w:rPr>
      </w:pPr>
      <w:r>
        <w:rPr>
          <w:rFonts w:hint="eastAsia" w:ascii="宋体" w:hAnsi="宋体" w:cs="宋体"/>
          <w:sz w:val="24"/>
          <w:szCs w:val="22"/>
        </w:rPr>
        <w:t>支持基于家族/三联体的比较</w:t>
      </w:r>
    </w:p>
    <w:p>
      <w:pPr>
        <w:pStyle w:val="2"/>
        <w:numPr>
          <w:ilvl w:val="0"/>
          <w:numId w:val="12"/>
        </w:numPr>
        <w:rPr>
          <w:rFonts w:ascii="宋体" w:hAnsi="宋体" w:cs="宋体"/>
          <w:sz w:val="24"/>
          <w:szCs w:val="22"/>
        </w:rPr>
      </w:pPr>
      <w:r>
        <w:rPr>
          <w:rFonts w:hint="eastAsia" w:ascii="宋体" w:hAnsi="宋体" w:cs="宋体"/>
          <w:sz w:val="24"/>
          <w:szCs w:val="22"/>
        </w:rPr>
        <w:t>支持肿瘤与正常比较</w:t>
      </w:r>
    </w:p>
    <w:p>
      <w:pPr>
        <w:pStyle w:val="2"/>
        <w:numPr>
          <w:ilvl w:val="0"/>
          <w:numId w:val="12"/>
        </w:numPr>
        <w:rPr>
          <w:rFonts w:ascii="宋体" w:hAnsi="宋体" w:cs="宋体"/>
          <w:sz w:val="24"/>
          <w:szCs w:val="22"/>
        </w:rPr>
      </w:pPr>
      <w:r>
        <w:rPr>
          <w:rFonts w:hint="eastAsia" w:ascii="宋体" w:hAnsi="宋体" w:cs="宋体"/>
          <w:sz w:val="24"/>
          <w:szCs w:val="22"/>
        </w:rPr>
        <w:t>支持CNV检测</w:t>
      </w:r>
    </w:p>
    <w:p>
      <w:pPr>
        <w:pStyle w:val="2"/>
        <w:numPr>
          <w:ilvl w:val="0"/>
          <w:numId w:val="12"/>
        </w:numPr>
        <w:rPr>
          <w:rFonts w:ascii="宋体" w:hAnsi="宋体" w:cs="宋体"/>
          <w:sz w:val="24"/>
          <w:szCs w:val="22"/>
        </w:rPr>
      </w:pPr>
      <w:r>
        <w:rPr>
          <w:rFonts w:hint="eastAsia" w:ascii="宋体" w:hAnsi="宋体" w:cs="宋体"/>
          <w:sz w:val="24"/>
          <w:szCs w:val="22"/>
        </w:rPr>
        <w:t>支持De Novo组装</w:t>
      </w:r>
    </w:p>
    <w:p>
      <w:pPr>
        <w:pStyle w:val="2"/>
        <w:numPr>
          <w:ilvl w:val="0"/>
          <w:numId w:val="12"/>
        </w:numPr>
        <w:rPr>
          <w:rFonts w:ascii="宋体" w:hAnsi="宋体" w:cs="宋体"/>
          <w:sz w:val="24"/>
          <w:szCs w:val="22"/>
        </w:rPr>
      </w:pPr>
      <w:r>
        <w:rPr>
          <w:rFonts w:hint="eastAsia" w:ascii="宋体" w:hAnsi="宋体" w:cs="宋体"/>
          <w:sz w:val="24"/>
          <w:szCs w:val="22"/>
        </w:rPr>
        <w:t>支持对来自Illumina® iSeq、Miniseq、MiSeq、NextSeq、HiSeq和NovaSeq系统、Ion Torrent Ion GeneStudio S5、PGM和Proton系统以及其他平台的转录组/RNA-Seq测序数据分析；支持可变剪接分析和转录表达水平分析</w:t>
      </w:r>
    </w:p>
    <w:p>
      <w:pPr>
        <w:pStyle w:val="2"/>
        <w:numPr>
          <w:ilvl w:val="0"/>
          <w:numId w:val="12"/>
        </w:numPr>
        <w:rPr>
          <w:rFonts w:ascii="宋体" w:hAnsi="宋体" w:cs="宋体"/>
          <w:sz w:val="24"/>
          <w:szCs w:val="22"/>
        </w:rPr>
      </w:pPr>
      <w:r>
        <w:rPr>
          <w:rFonts w:hint="eastAsia" w:ascii="宋体" w:hAnsi="宋体" w:cs="宋体"/>
          <w:sz w:val="24"/>
          <w:szCs w:val="22"/>
        </w:rPr>
        <w:t>支持来自来自Illumina® iSeq、Miniseq、MiSeq、NextSeq、HiSeq和NovaSeq系统、Ion Torrent Ion GeneStudio S5、PGM和Proton系统以及其他平台的ChIP-Seq、DGE、miRNA 数据分析</w:t>
      </w:r>
    </w:p>
    <w:p>
      <w:pPr>
        <w:pStyle w:val="2"/>
        <w:numPr>
          <w:ilvl w:val="1"/>
          <w:numId w:val="10"/>
        </w:numPr>
        <w:rPr>
          <w:rFonts w:ascii="宋体" w:hAnsi="宋体" w:cs="宋体"/>
          <w:sz w:val="24"/>
          <w:szCs w:val="22"/>
        </w:rPr>
      </w:pPr>
      <w:r>
        <w:rPr>
          <w:rFonts w:hint="eastAsia" w:ascii="宋体" w:hAnsi="宋体" w:cs="宋体"/>
          <w:sz w:val="24"/>
          <w:szCs w:val="22"/>
        </w:rPr>
        <w:t>软件为商业软件，非开源软件。</w:t>
      </w:r>
    </w:p>
    <w:p>
      <w:pPr>
        <w:pStyle w:val="2"/>
        <w:numPr>
          <w:ilvl w:val="1"/>
          <w:numId w:val="10"/>
        </w:numPr>
        <w:rPr>
          <w:rFonts w:ascii="宋体" w:hAnsi="宋体" w:cs="宋体"/>
          <w:sz w:val="24"/>
          <w:szCs w:val="22"/>
        </w:rPr>
      </w:pPr>
      <w:r>
        <w:rPr>
          <w:rFonts w:hint="eastAsia" w:ascii="宋体" w:hAnsi="宋体" w:cs="宋体"/>
          <w:sz w:val="24"/>
          <w:szCs w:val="22"/>
        </w:rPr>
        <w:t>License：用户数1个，限制同时登陆使用。</w:t>
      </w:r>
    </w:p>
    <w:p>
      <w:pPr>
        <w:pStyle w:val="2"/>
        <w:numPr>
          <w:ilvl w:val="1"/>
          <w:numId w:val="10"/>
        </w:numPr>
        <w:rPr>
          <w:rFonts w:ascii="宋体" w:hAnsi="宋体" w:cs="宋体"/>
          <w:sz w:val="24"/>
          <w:szCs w:val="22"/>
        </w:rPr>
      </w:pPr>
      <w:r>
        <w:rPr>
          <w:rFonts w:hint="eastAsia" w:ascii="宋体" w:hAnsi="宋体" w:cs="宋体"/>
          <w:sz w:val="24"/>
          <w:szCs w:val="22"/>
        </w:rPr>
        <w:t>服务：提供1年使用期限内的原厂或代理商技术支持服务。</w:t>
      </w:r>
    </w:p>
    <w:p>
      <w:pPr>
        <w:pStyle w:val="3"/>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spacing w:line="360" w:lineRule="auto"/>
        <w:ind w:firstLine="480" w:firstLineChars="200"/>
        <w:rPr>
          <w:rFonts w:ascii="宋体" w:hAnsi="宋体" w:cs="宋体"/>
          <w:sz w:val="24"/>
        </w:rPr>
      </w:pPr>
      <w:r>
        <w:rPr>
          <w:rFonts w:hint="eastAsia" w:ascii="宋体" w:hAnsi="宋体" w:cs="宋体"/>
          <w:sz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w:t>
      </w:r>
    </w:p>
    <w:p>
      <w:pPr>
        <w:pStyle w:val="21"/>
        <w:numPr>
          <w:ilvl w:val="1"/>
          <w:numId w:val="13"/>
        </w:numPr>
        <w:spacing w:line="360" w:lineRule="auto"/>
        <w:ind w:firstLineChars="0"/>
        <w:rPr>
          <w:rFonts w:ascii="宋体" w:hAnsi="宋体" w:cs="宋体"/>
          <w:sz w:val="24"/>
          <w:szCs w:val="24"/>
        </w:rPr>
      </w:pPr>
      <w:r>
        <w:rPr>
          <w:rFonts w:hint="eastAsia" w:ascii="宋体" w:hAnsi="宋体" w:cs="宋体"/>
          <w:sz w:val="24"/>
          <w:szCs w:val="24"/>
        </w:rPr>
        <w:t>售后服务的形式：</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21"/>
        <w:numPr>
          <w:ilvl w:val="2"/>
          <w:numId w:val="13"/>
        </w:numPr>
        <w:spacing w:line="360" w:lineRule="auto"/>
        <w:ind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1"/>
        <w:numPr>
          <w:ilvl w:val="0"/>
          <w:numId w:val="13"/>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spacing w:before="78" w:after="78"/>
        <w:ind w:firstLine="480"/>
      </w:pPr>
    </w:p>
    <w:p>
      <w:pPr>
        <w:pStyle w:val="19"/>
        <w:rPr>
          <w:rFonts w:ascii="宋体" w:hAnsi="宋体" w:eastAsia="宋体" w:cs="宋体"/>
          <w:sz w:val="24"/>
          <w:szCs w:val="24"/>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8"/>
        </w:numPr>
        <w:rPr>
          <w:rFonts w:ascii="宋体" w:hAnsi="宋体" w:eastAsia="宋体" w:cs="宋体"/>
        </w:rPr>
      </w:pPr>
      <w:r>
        <w:rPr>
          <w:rFonts w:hint="eastAsia" w:ascii="宋体" w:hAnsi="宋体" w:eastAsia="宋体" w:cs="宋体"/>
        </w:rPr>
        <w:t>附件</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eastAsia="zh-CN"/>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03</w:t>
      </w:r>
      <w:r>
        <w:rPr>
          <w:rFonts w:hint="eastAsia" w:ascii="宋体"/>
          <w:sz w:val="24"/>
          <w:u w:val="single"/>
          <w:lang w:eastAsia="zh-CN"/>
        </w:rPr>
        <w:t>（</w:t>
      </w:r>
      <w:r>
        <w:rPr>
          <w:rFonts w:hint="eastAsia" w:ascii="宋体"/>
          <w:sz w:val="24"/>
          <w:u w:val="single"/>
          <w:lang w:val="en-US" w:eastAsia="zh-CN"/>
        </w:rPr>
        <w:t>第二次</w:t>
      </w:r>
      <w:r>
        <w:rPr>
          <w:rFonts w:hint="eastAsia" w:ascii="宋体"/>
          <w:sz w:val="24"/>
          <w:u w:val="single"/>
          <w:lang w:eastAsia="zh-CN"/>
        </w:rPr>
        <w:t>）</w:t>
      </w:r>
    </w:p>
    <w:p>
      <w:pPr>
        <w:spacing w:line="360" w:lineRule="auto"/>
        <w:ind w:firstLine="360" w:firstLineChars="150"/>
        <w:rPr>
          <w:rFonts w:hint="default" w:ascii="宋体" w:eastAsia="宋体"/>
          <w:sz w:val="24"/>
          <w:u w:val="single"/>
          <w:lang w:val="en-US" w:eastAsia="zh-CN"/>
        </w:rPr>
      </w:pPr>
      <w:r>
        <w:rPr>
          <w:rFonts w:hint="eastAsia" w:ascii="宋体"/>
          <w:sz w:val="24"/>
        </w:rPr>
        <w:t>项目名称：</w:t>
      </w:r>
      <w:r>
        <w:rPr>
          <w:rFonts w:hint="eastAsia" w:ascii="宋体"/>
          <w:sz w:val="24"/>
          <w:u w:val="single"/>
        </w:rPr>
        <w:t>NextGENe二代测序数据处理软件</w:t>
      </w:r>
      <w:r>
        <w:rPr>
          <w:rFonts w:hint="eastAsia" w:ascii="宋体"/>
          <w:sz w:val="24"/>
          <w:u w:val="single"/>
          <w:lang w:eastAsia="zh-CN"/>
        </w:rPr>
        <w:t>（</w:t>
      </w:r>
      <w:r>
        <w:rPr>
          <w:rFonts w:hint="eastAsia" w:ascii="宋体"/>
          <w:sz w:val="24"/>
          <w:u w:val="single"/>
          <w:lang w:val="en-US" w:eastAsia="zh-CN"/>
        </w:rPr>
        <w:t>第二次）</w:t>
      </w:r>
    </w:p>
    <w:p>
      <w:pPr>
        <w:spacing w:line="360" w:lineRule="auto"/>
        <w:ind w:firstLine="360" w:firstLineChars="150"/>
        <w:rPr>
          <w:rFonts w:ascii="宋体"/>
          <w:sz w:val="24"/>
        </w:rPr>
      </w:pPr>
      <w:r>
        <w:rPr>
          <w:rFonts w:hint="eastAsia" w:ascii="宋体"/>
          <w:sz w:val="24"/>
        </w:rPr>
        <w:t>报价明细：</w:t>
      </w:r>
    </w:p>
    <w:p>
      <w:pPr>
        <w:pStyle w:val="11"/>
        <w:ind w:left="0" w:firstLine="0"/>
      </w:pPr>
    </w:p>
    <w:tbl>
      <w:tblPr>
        <w:tblStyle w:val="12"/>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pStyle w:val="11"/>
        <w:ind w:left="0" w:firstLine="0"/>
      </w:pPr>
    </w:p>
    <w:p>
      <w:pPr>
        <w:pStyle w:val="11"/>
        <w:ind w:left="0" w:firstLine="0"/>
      </w:pPr>
    </w:p>
    <w:p>
      <w:pPr>
        <w:pStyle w:val="11"/>
      </w:pPr>
    </w:p>
    <w:p>
      <w:pPr>
        <w:pStyle w:val="11"/>
      </w:pPr>
    </w:p>
    <w:p>
      <w:pPr>
        <w:pStyle w:val="11"/>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1"/>
        <w:ind w:left="0" w:firstLine="0"/>
      </w:pPr>
    </w:p>
    <w:p>
      <w:pPr>
        <w:pStyle w:val="11"/>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2"/>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2"/>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2"/>
        <w:autoSpaceDE w:val="0"/>
        <w:autoSpaceDN w:val="0"/>
        <w:spacing w:before="120" w:after="120" w:line="240" w:lineRule="atLeast"/>
        <w:jc w:val="left"/>
        <w:rPr>
          <w:rFonts w:ascii="宋体" w:hAnsi="宋体" w:eastAsia="宋体" w:cs="宋体"/>
        </w:rPr>
      </w:pP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lang w:val="en-US" w:eastAsia="zh-CN"/>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2AA1"/>
    <w:multiLevelType w:val="multilevel"/>
    <w:tmpl w:val="98C32AA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EBCCC30"/>
    <w:multiLevelType w:val="singleLevel"/>
    <w:tmpl w:val="9EBCCC30"/>
    <w:lvl w:ilvl="0" w:tentative="0">
      <w:start w:val="2"/>
      <w:numFmt w:val="decimal"/>
      <w:suff w:val="space"/>
      <w:lvlText w:val="%1）"/>
      <w:lvlJc w:val="left"/>
    </w:lvl>
  </w:abstractNum>
  <w:abstractNum w:abstractNumId="2">
    <w:nsid w:val="B454D804"/>
    <w:multiLevelType w:val="singleLevel"/>
    <w:tmpl w:val="B454D804"/>
    <w:lvl w:ilvl="0" w:tentative="0">
      <w:start w:val="1"/>
      <w:numFmt w:val="decimal"/>
      <w:lvlText w:val="%1)"/>
      <w:lvlJc w:val="left"/>
      <w:pPr>
        <w:ind w:left="845" w:hanging="425"/>
      </w:pPr>
      <w:rPr>
        <w:rFonts w:hint="default"/>
      </w:r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AD898F"/>
    <w:multiLevelType w:val="singleLevel"/>
    <w:tmpl w:val="0CAD898F"/>
    <w:lvl w:ilvl="0" w:tentative="0">
      <w:start w:val="1"/>
      <w:numFmt w:val="bullet"/>
      <w:lvlText w:val=""/>
      <w:lvlJc w:val="left"/>
      <w:pPr>
        <w:ind w:left="630" w:hanging="420"/>
      </w:pPr>
      <w:rPr>
        <w:rFonts w:hint="default" w:ascii="Wingdings" w:hAnsi="Wingdings"/>
      </w:rPr>
    </w:lvl>
  </w:abstractNum>
  <w:abstractNum w:abstractNumId="6">
    <w:nsid w:val="18810C4B"/>
    <w:multiLevelType w:val="singleLevel"/>
    <w:tmpl w:val="18810C4B"/>
    <w:lvl w:ilvl="0" w:tentative="0">
      <w:start w:val="1"/>
      <w:numFmt w:val="decimal"/>
      <w:suff w:val="space"/>
      <w:lvlText w:val="%1）"/>
      <w:lvlJc w:val="left"/>
    </w:lvl>
  </w:abstractNum>
  <w:abstractNum w:abstractNumId="7">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89AF510"/>
    <w:multiLevelType w:val="multilevel"/>
    <w:tmpl w:val="689AF510"/>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tabs>
          <w:tab w:val="left" w:pos="840"/>
        </w:tabs>
        <w:ind w:left="1050" w:hanging="420"/>
      </w:pPr>
      <w:rPr>
        <w:rFonts w:hint="default" w:ascii="Wingdings 2" w:hAnsi="Wingdings 2" w:cs="Wingdings 2"/>
      </w:rPr>
    </w:lvl>
    <w:lvl w:ilvl="2" w:tentative="0">
      <w:start w:val="1"/>
      <w:numFmt w:val="bullet"/>
      <w:lvlText w:val=""/>
      <w:lvlJc w:val="left"/>
      <w:pPr>
        <w:tabs>
          <w:tab w:val="left" w:pos="1260"/>
        </w:tabs>
        <w:ind w:left="1470" w:hanging="420"/>
      </w:pPr>
      <w:rPr>
        <w:rFonts w:hint="default" w:ascii="Wingdings" w:hAnsi="Wingdings"/>
      </w:rPr>
    </w:lvl>
    <w:lvl w:ilvl="3" w:tentative="0">
      <w:start w:val="1"/>
      <w:numFmt w:val="bullet"/>
      <w:lvlText w:val=""/>
      <w:lvlJc w:val="left"/>
      <w:pPr>
        <w:tabs>
          <w:tab w:val="left" w:pos="1680"/>
        </w:tabs>
        <w:ind w:left="1890" w:hanging="420"/>
      </w:pPr>
      <w:rPr>
        <w:rFonts w:hint="default" w:ascii="Wingdings" w:hAnsi="Wingdings"/>
      </w:rPr>
    </w:lvl>
    <w:lvl w:ilvl="4" w:tentative="0">
      <w:start w:val="1"/>
      <w:numFmt w:val="bullet"/>
      <w:lvlText w:val=""/>
      <w:lvlJc w:val="left"/>
      <w:pPr>
        <w:tabs>
          <w:tab w:val="left" w:pos="2100"/>
        </w:tabs>
        <w:ind w:left="2310" w:hanging="420"/>
      </w:pPr>
      <w:rPr>
        <w:rFonts w:hint="default" w:ascii="Wingdings" w:hAnsi="Wingdings"/>
      </w:rPr>
    </w:lvl>
    <w:lvl w:ilvl="5" w:tentative="0">
      <w:start w:val="1"/>
      <w:numFmt w:val="bullet"/>
      <w:lvlText w:val=""/>
      <w:lvlJc w:val="left"/>
      <w:pPr>
        <w:tabs>
          <w:tab w:val="left" w:pos="2520"/>
        </w:tabs>
        <w:ind w:left="2730" w:hanging="420"/>
      </w:pPr>
      <w:rPr>
        <w:rFonts w:hint="default" w:ascii="Wingdings" w:hAnsi="Wingdings"/>
      </w:rPr>
    </w:lvl>
    <w:lvl w:ilvl="6" w:tentative="0">
      <w:start w:val="1"/>
      <w:numFmt w:val="bullet"/>
      <w:lvlText w:val=""/>
      <w:lvlJc w:val="left"/>
      <w:pPr>
        <w:tabs>
          <w:tab w:val="left" w:pos="2940"/>
        </w:tabs>
        <w:ind w:left="3150" w:hanging="420"/>
      </w:pPr>
      <w:rPr>
        <w:rFonts w:hint="default" w:ascii="Wingdings" w:hAnsi="Wingdings"/>
      </w:rPr>
    </w:lvl>
    <w:lvl w:ilvl="7" w:tentative="0">
      <w:start w:val="1"/>
      <w:numFmt w:val="bullet"/>
      <w:lvlText w:val=""/>
      <w:lvlJc w:val="left"/>
      <w:pPr>
        <w:tabs>
          <w:tab w:val="left" w:pos="3360"/>
        </w:tabs>
        <w:ind w:left="3570" w:hanging="420"/>
      </w:pPr>
      <w:rPr>
        <w:rFonts w:hint="default" w:ascii="Wingdings" w:hAnsi="Wingdings"/>
      </w:rPr>
    </w:lvl>
    <w:lvl w:ilvl="8" w:tentative="0">
      <w:start w:val="1"/>
      <w:numFmt w:val="bullet"/>
      <w:lvlText w:val=""/>
      <w:lvlJc w:val="left"/>
      <w:pPr>
        <w:tabs>
          <w:tab w:val="left" w:pos="3780"/>
        </w:tabs>
        <w:ind w:left="3990" w:hanging="420"/>
      </w:pPr>
      <w:rPr>
        <w:rFonts w:hint="default" w:ascii="Wingdings" w:hAnsi="Wingdings"/>
      </w:rPr>
    </w:lvl>
  </w:abstractNum>
  <w:abstractNum w:abstractNumId="11">
    <w:nsid w:val="6D985AF7"/>
    <w:multiLevelType w:val="singleLevel"/>
    <w:tmpl w:val="6D985AF7"/>
    <w:lvl w:ilvl="0" w:tentative="0">
      <w:start w:val="1"/>
      <w:numFmt w:val="decimal"/>
      <w:lvlText w:val="%1)"/>
      <w:lvlJc w:val="left"/>
      <w:pPr>
        <w:ind w:left="845" w:hanging="425"/>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1"/>
  </w:num>
  <w:num w:numId="8">
    <w:abstractNumId w:val="3"/>
  </w:num>
  <w:num w:numId="9">
    <w:abstractNumId w:val="9"/>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871A3B"/>
    <w:rsid w:val="00C13E2C"/>
    <w:rsid w:val="056C2D54"/>
    <w:rsid w:val="07FC03D1"/>
    <w:rsid w:val="07FF5C5B"/>
    <w:rsid w:val="0C22366A"/>
    <w:rsid w:val="0CA93B2B"/>
    <w:rsid w:val="0D6D61B7"/>
    <w:rsid w:val="0FEE35BB"/>
    <w:rsid w:val="12E47D08"/>
    <w:rsid w:val="167D3F07"/>
    <w:rsid w:val="224D1A14"/>
    <w:rsid w:val="23C93B55"/>
    <w:rsid w:val="2C7A2EB0"/>
    <w:rsid w:val="2E2456A8"/>
    <w:rsid w:val="31501BF3"/>
    <w:rsid w:val="4AAC1378"/>
    <w:rsid w:val="506131F5"/>
    <w:rsid w:val="5F921471"/>
    <w:rsid w:val="6B2F17DE"/>
    <w:rsid w:val="6BAA11C7"/>
    <w:rsid w:val="77CE2688"/>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3"/>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5"/>
    <w:unhideWhenUsed/>
    <w:qFormat/>
    <w:uiPriority w:val="99"/>
  </w:style>
  <w:style w:type="character" w:styleId="14">
    <w:name w:val="page number"/>
    <w:qFormat/>
    <w:uiPriority w:val="0"/>
  </w:style>
  <w:style w:type="character" w:styleId="15">
    <w:name w:val="FollowedHyperlink"/>
    <w:basedOn w:val="13"/>
    <w:qFormat/>
    <w:uiPriority w:val="0"/>
    <w:rPr>
      <w:color w:val="800080"/>
      <w:u w:val="single"/>
    </w:rPr>
  </w:style>
  <w:style w:type="character" w:styleId="16">
    <w:name w:val="Hyperlink"/>
    <w:unhideWhenUsed/>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ITB-0"/>
    <w:basedOn w:val="1"/>
    <w:qFormat/>
    <w:uiPriority w:val="0"/>
    <w:pPr>
      <w:adjustRightInd w:val="0"/>
      <w:jc w:val="center"/>
    </w:pPr>
    <w:rPr>
      <w:b/>
      <w:sz w:val="32"/>
      <w:szCs w:val="20"/>
    </w:rPr>
  </w:style>
  <w:style w:type="paragraph" w:customStyle="1" w:styleId="1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0">
    <w:name w:val="ifb-1"/>
    <w:basedOn w:val="1"/>
    <w:qFormat/>
    <w:uiPriority w:val="0"/>
    <w:pPr>
      <w:ind w:left="420" w:hanging="420"/>
    </w:pPr>
    <w:rPr>
      <w:rFonts w:ascii="楷体_GB2312" w:eastAsia="楷体_GB2312"/>
      <w:szCs w:val="20"/>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att"/>
    <w:basedOn w:val="1"/>
    <w:qFormat/>
    <w:uiPriority w:val="0"/>
    <w:pPr>
      <w:spacing w:line="360" w:lineRule="auto"/>
    </w:pPr>
    <w:rPr>
      <w:rFonts w:eastAsia="楷体_GB2312"/>
      <w:sz w:val="24"/>
      <w:szCs w:val="20"/>
    </w:rPr>
  </w:style>
  <w:style w:type="character" w:customStyle="1" w:styleId="23">
    <w:name w:val="批注框文本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5189</Words>
  <Characters>5902</Characters>
  <Lines>48</Lines>
  <Paragraphs>13</Paragraphs>
  <TotalTime>6</TotalTime>
  <ScaleCrop>false</ScaleCrop>
  <LinksUpToDate>false</LinksUpToDate>
  <CharactersWithSpaces>6338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文档存本地丢失不负责</cp:lastModifiedBy>
  <dcterms:modified xsi:type="dcterms:W3CDTF">2022-06-15T00:18:10Z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948C9E9221F4482292AEA7355DE23444</vt:lpwstr>
  </property>
</Properties>
</file>