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inherit" w:hAnsi="inherit" w:eastAsia="微软雅黑" w:cs="宋体"/>
          <w:kern w:val="36"/>
          <w:sz w:val="28"/>
          <w:szCs w:val="28"/>
        </w:rPr>
      </w:pPr>
      <w:r>
        <w:rPr>
          <w:rFonts w:ascii="inherit" w:hAnsi="inherit" w:eastAsia="微软雅黑" w:cs="宋体"/>
          <w:kern w:val="36"/>
          <w:sz w:val="28"/>
          <w:szCs w:val="28"/>
        </w:rPr>
        <w:t>上海市儿童医院</w:t>
      </w:r>
      <w:r>
        <w:rPr>
          <w:rFonts w:hint="eastAsia" w:ascii="inherit" w:hAnsi="inherit" w:eastAsia="微软雅黑" w:cs="宋体"/>
          <w:kern w:val="36"/>
          <w:sz w:val="28"/>
          <w:szCs w:val="28"/>
        </w:rPr>
        <w:t>“甘氨酸（CG）检测、抗缪勒管激素（AMH）测定、单纯疱疹病毒I、II分型核酸检测、血氨测定干片（干化学法）”</w:t>
      </w:r>
    </w:p>
    <w:p>
      <w:pPr>
        <w:widowControl/>
        <w:jc w:val="center"/>
        <w:rPr>
          <w:rFonts w:hint="eastAsia" w:ascii="inherit" w:hAnsi="inherit" w:eastAsia="微软雅黑" w:cs="宋体"/>
          <w:kern w:val="36"/>
          <w:sz w:val="28"/>
          <w:szCs w:val="28"/>
        </w:rPr>
      </w:pPr>
      <w:r>
        <w:rPr>
          <w:rFonts w:ascii="inherit" w:hAnsi="inherit" w:eastAsia="微软雅黑" w:cs="宋体"/>
          <w:kern w:val="36"/>
          <w:sz w:val="28"/>
          <w:szCs w:val="28"/>
        </w:rPr>
        <w:t>遴选</w:t>
      </w:r>
      <w:r>
        <w:rPr>
          <w:rFonts w:hint="eastAsia" w:ascii="inherit" w:hAnsi="inherit" w:eastAsia="微软雅黑" w:cs="宋体"/>
          <w:kern w:val="36"/>
          <w:sz w:val="28"/>
          <w:szCs w:val="28"/>
        </w:rPr>
        <w:t>文件</w:t>
      </w:r>
    </w:p>
    <w:p>
      <w:pPr>
        <w:widowControl/>
        <w:spacing w:line="504" w:lineRule="atLeast"/>
        <w:jc w:val="center"/>
        <w:outlineLvl w:val="0"/>
        <w:rPr>
          <w:rFonts w:hint="eastAsia" w:ascii="inherit" w:hAnsi="inherit" w:eastAsia="微软雅黑" w:cs="宋体"/>
          <w:color w:val="333333"/>
          <w:kern w:val="36"/>
          <w:sz w:val="28"/>
          <w:szCs w:val="28"/>
        </w:rPr>
      </w:pPr>
      <w:r>
        <w:rPr>
          <w:rFonts w:hint="eastAsia" w:ascii="inherit" w:hAnsi="inherit" w:eastAsia="微软雅黑" w:cs="宋体"/>
          <w:color w:val="333333"/>
          <w:kern w:val="36"/>
          <w:sz w:val="28"/>
          <w:szCs w:val="28"/>
        </w:rPr>
        <w:t>遴选编号：2022-ETLX</w:t>
      </w:r>
      <w:r>
        <w:rPr>
          <w:rFonts w:hint="eastAsia" w:ascii="inherit" w:hAnsi="inherit" w:eastAsia="微软雅黑" w:cs="宋体"/>
          <w:kern w:val="36"/>
          <w:sz w:val="28"/>
          <w:szCs w:val="28"/>
        </w:rPr>
        <w:t>SJ-001</w:t>
      </w:r>
    </w:p>
    <w:p>
      <w:pPr>
        <w:widowControl/>
        <w:spacing w:before="168" w:after="168" w:line="440" w:lineRule="exact"/>
        <w:ind w:firstLine="480" w:firstLineChars="200"/>
        <w:jc w:val="left"/>
        <w:rPr>
          <w:rFonts w:ascii="宋体" w:hAnsi="宋体" w:eastAsia="宋体" w:cs="宋体"/>
          <w:color w:val="FF0000"/>
          <w:kern w:val="0"/>
          <w:sz w:val="24"/>
          <w:szCs w:val="24"/>
        </w:rPr>
      </w:pPr>
      <w:r>
        <w:rPr>
          <w:rFonts w:ascii="宋体" w:hAnsi="宋体" w:eastAsia="宋体" w:cs="宋体"/>
          <w:color w:val="000000"/>
          <w:kern w:val="0"/>
          <w:sz w:val="24"/>
          <w:szCs w:val="24"/>
        </w:rPr>
        <w:t>上海市儿童医院“</w:t>
      </w:r>
      <w:r>
        <w:rPr>
          <w:rFonts w:hint="eastAsia" w:ascii="宋体" w:hAnsi="宋体" w:eastAsia="宋体" w:cs="宋体"/>
          <w:color w:val="000000"/>
          <w:kern w:val="0"/>
          <w:sz w:val="24"/>
          <w:szCs w:val="24"/>
        </w:rPr>
        <w:t>甘氨酸（CG）检测、抗缪勒管激素（AMH）测定、单纯疱疹病毒I、II分型核酸检测、血氨测定干片（干化学法）”公开征询供应商，欢迎</w:t>
      </w:r>
      <w:r>
        <w:rPr>
          <w:rFonts w:hint="eastAsia" w:ascii="宋体" w:hAnsi="宋体" w:eastAsia="宋体" w:cs="宋体"/>
          <w:kern w:val="0"/>
          <w:sz w:val="24"/>
          <w:szCs w:val="24"/>
        </w:rPr>
        <w:t>合格供应商前来参加遴选。届时我们将选出合适的产品供应商进行日常采购。</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一、适用情况：用于临床、检验、病理等医用试剂。</w:t>
      </w:r>
    </w:p>
    <w:p>
      <w:pPr>
        <w:widowControl/>
        <w:wordWrap w:val="0"/>
        <w:spacing w:line="44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二2．项目名称：包件1：甘胆酸（CG）检测</w:t>
      </w:r>
    </w:p>
    <w:p>
      <w:pPr>
        <w:widowControl/>
        <w:wordWrap w:val="0"/>
        <w:spacing w:line="44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包件2：抗缪勒管激素（AMH）测定</w:t>
      </w:r>
    </w:p>
    <w:p>
      <w:pPr>
        <w:widowControl/>
        <w:wordWrap w:val="0"/>
        <w:spacing w:line="44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包件3：单纯疱疹病毒I、II分型核酸检测（荧光PCR法）</w:t>
      </w:r>
    </w:p>
    <w:p>
      <w:pPr>
        <w:widowControl/>
        <w:wordWrap w:val="0"/>
        <w:spacing w:line="44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包件4：血氨测定干片（干化学法）</w:t>
      </w:r>
    </w:p>
    <w:p>
      <w:pPr>
        <w:widowControl/>
        <w:wordWrap w:val="0"/>
        <w:spacing w:line="193" w:lineRule="atLeast"/>
        <w:rPr>
          <w:rFonts w:ascii="宋体" w:hAnsi="宋体" w:eastAsia="宋体" w:cs="宋体"/>
          <w:color w:val="000000"/>
          <w:kern w:val="0"/>
          <w:sz w:val="24"/>
          <w:szCs w:val="24"/>
        </w:rPr>
      </w:pPr>
    </w:p>
    <w:p>
      <w:pPr>
        <w:widowControl/>
        <w:wordWrap w:val="0"/>
        <w:spacing w:line="193" w:lineRule="atLeast"/>
        <w:rPr>
          <w:rFonts w:ascii="Calibri" w:hAnsi="Calibri" w:eastAsia="微软雅黑" w:cs="宋体"/>
          <w:color w:val="333333"/>
          <w:kern w:val="0"/>
          <w:szCs w:val="21"/>
        </w:rPr>
      </w:pPr>
    </w:p>
    <w:p>
      <w:pPr>
        <w:widowControl/>
        <w:numPr>
          <w:ilvl w:val="0"/>
          <w:numId w:val="1"/>
        </w:numPr>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技术要求：</w:t>
      </w:r>
    </w:p>
    <w:p>
      <w:pPr>
        <w:rPr>
          <w:rFonts w:ascii="宋体" w:hAnsi="宋体" w:cs="宋体"/>
          <w:color w:val="000000"/>
          <w:kern w:val="0"/>
          <w:sz w:val="24"/>
          <w:lang w:bidi="ar"/>
        </w:rPr>
      </w:pPr>
      <w:r>
        <w:rPr>
          <w:rFonts w:hint="eastAsia" w:ascii="宋体" w:hAnsi="宋体" w:eastAsia="宋体" w:cs="宋体"/>
          <w:color w:val="000000"/>
          <w:kern w:val="0"/>
          <w:sz w:val="24"/>
          <w:szCs w:val="24"/>
        </w:rPr>
        <w:t>包件一：</w:t>
      </w:r>
      <w:r>
        <w:rPr>
          <w:rFonts w:hint="eastAsia" w:ascii="宋体" w:hAnsi="宋体" w:cs="宋体"/>
          <w:color w:val="000000"/>
          <w:kern w:val="0"/>
          <w:sz w:val="24"/>
          <w:lang w:bidi="ar"/>
        </w:rPr>
        <w:t>甘胆酸（CG）检测</w:t>
      </w:r>
    </w:p>
    <w:p>
      <w:pPr>
        <w:rPr>
          <w:rFonts w:ascii="宋体" w:hAnsi="宋体" w:cs="宋体"/>
          <w:color w:val="000000"/>
          <w:kern w:val="0"/>
          <w:sz w:val="24"/>
          <w:lang w:bidi="ar"/>
        </w:rPr>
      </w:pPr>
      <w:r>
        <w:rPr>
          <w:rFonts w:hint="eastAsia" w:ascii="宋体" w:hAnsi="宋体" w:cs="宋体"/>
          <w:color w:val="000000"/>
          <w:kern w:val="0"/>
          <w:sz w:val="24"/>
          <w:lang w:bidi="ar"/>
        </w:rPr>
        <w:t>预估年使用量：7000次</w:t>
      </w:r>
    </w:p>
    <w:p>
      <w:pPr>
        <w:rPr>
          <w:rFonts w:ascii="宋体" w:hAnsi="宋体" w:eastAsia="宋体" w:cs="宋体"/>
          <w:color w:val="000000"/>
          <w:kern w:val="0"/>
          <w:sz w:val="24"/>
          <w:szCs w:val="24"/>
        </w:rPr>
      </w:pPr>
      <w:r>
        <w:rPr>
          <w:rFonts w:hint="eastAsia" w:ascii="宋体" w:hAnsi="宋体" w:cs="宋体"/>
          <w:color w:val="000000"/>
          <w:kern w:val="0"/>
          <w:sz w:val="24"/>
          <w:lang w:bidi="ar"/>
        </w:rPr>
        <w:t>用途：可用于肝细胞功能及肝胆循环障碍的检查。</w:t>
      </w:r>
    </w:p>
    <w:tbl>
      <w:tblPr>
        <w:tblStyle w:val="9"/>
        <w:tblW w:w="8435" w:type="dxa"/>
        <w:tblInd w:w="93" w:type="dxa"/>
        <w:tblLayout w:type="fixed"/>
        <w:tblCellMar>
          <w:top w:w="0" w:type="dxa"/>
          <w:left w:w="108" w:type="dxa"/>
          <w:bottom w:w="0" w:type="dxa"/>
          <w:right w:w="108" w:type="dxa"/>
        </w:tblCellMar>
      </w:tblPr>
      <w:tblGrid>
        <w:gridCol w:w="1262"/>
        <w:gridCol w:w="7173"/>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717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招标要求</w:t>
            </w:r>
          </w:p>
        </w:tc>
      </w:tr>
      <w:tr>
        <w:tblPrEx>
          <w:tblCellMar>
            <w:top w:w="0" w:type="dxa"/>
            <w:left w:w="108" w:type="dxa"/>
            <w:bottom w:w="0" w:type="dxa"/>
            <w:right w:w="108" w:type="dxa"/>
          </w:tblCellMar>
        </w:tblPrEx>
        <w:trPr>
          <w:trHeight w:val="1043"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用途：用于肝细胞功能及肝胆循环障碍的检查。</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1.2.1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检测方法：均相酶免疫法</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1.2.2</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sz w:val="22"/>
              </w:rPr>
              <w:t>线性范围：2.5~50ug/mL</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1.2.3</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sz w:val="22"/>
              </w:rPr>
              <w:t>不精密度：＜10%</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适配仪器：贝克曼AU5800</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eastAsia="宋体" w:cs="宋体"/>
                <w:kern w:val="0"/>
                <w:sz w:val="22"/>
                <w:lang w:bidi="ar"/>
              </w:rPr>
              <w:t>▲</w:t>
            </w:r>
            <w:r>
              <w:rPr>
                <w:rFonts w:hint="eastAsia" w:ascii="宋体" w:hAnsi="宋体" w:cs="宋体"/>
                <w:color w:val="000000"/>
                <w:kern w:val="0"/>
                <w:sz w:val="22"/>
                <w:lang w:bidi="ar"/>
              </w:rPr>
              <w:t>1.4</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需三证齐全：生产许可证、医疗器械注册证或国药准字号、经营许可证；</w:t>
            </w:r>
          </w:p>
        </w:tc>
      </w:tr>
    </w:tbl>
    <w:p>
      <w:pPr>
        <w:widowControl/>
        <w:wordWrap w:val="0"/>
        <w:spacing w:line="193" w:lineRule="atLeast"/>
        <w:ind w:left="1560" w:hanging="1560" w:hangingChars="650"/>
        <w:rPr>
          <w:rFonts w:ascii="宋体" w:hAnsi="宋体" w:eastAsia="宋体" w:cs="宋体"/>
          <w:color w:val="000000"/>
          <w:kern w:val="0"/>
          <w:sz w:val="24"/>
          <w:szCs w:val="24"/>
        </w:rPr>
      </w:pPr>
    </w:p>
    <w:p>
      <w:pPr>
        <w:widowControl/>
        <w:wordWrap w:val="0"/>
        <w:spacing w:line="193" w:lineRule="atLeast"/>
        <w:ind w:left="1560" w:hanging="1560" w:hangingChars="650"/>
        <w:rPr>
          <w:rFonts w:ascii="宋体" w:hAnsi="宋体" w:eastAsia="宋体" w:cs="宋体"/>
          <w:color w:val="000000"/>
          <w:kern w:val="0"/>
          <w:sz w:val="24"/>
          <w:szCs w:val="24"/>
        </w:rPr>
      </w:pPr>
    </w:p>
    <w:p>
      <w:pPr>
        <w:widowControl/>
        <w:wordWrap w:val="0"/>
        <w:spacing w:line="193" w:lineRule="atLeast"/>
        <w:ind w:left="1560" w:hanging="1560" w:hangingChars="650"/>
        <w:rPr>
          <w:rFonts w:ascii="宋体" w:hAnsi="宋体" w:eastAsia="宋体" w:cs="宋体"/>
          <w:color w:val="000000"/>
          <w:kern w:val="0"/>
          <w:sz w:val="24"/>
          <w:szCs w:val="24"/>
        </w:rPr>
      </w:pPr>
    </w:p>
    <w:p>
      <w:pPr>
        <w:widowControl/>
        <w:wordWrap w:val="0"/>
        <w:spacing w:line="193" w:lineRule="atLeast"/>
        <w:ind w:left="1560" w:hanging="1560" w:hangingChars="650"/>
        <w:rPr>
          <w:rFonts w:ascii="宋体" w:hAnsi="宋体" w:eastAsia="宋体" w:cs="宋体"/>
          <w:color w:val="000000"/>
          <w:kern w:val="0"/>
          <w:sz w:val="24"/>
          <w:szCs w:val="24"/>
        </w:rPr>
      </w:pPr>
    </w:p>
    <w:p>
      <w:pPr>
        <w:widowControl/>
        <w:wordWrap w:val="0"/>
        <w:spacing w:line="193" w:lineRule="atLeast"/>
        <w:ind w:left="1560" w:hanging="1560" w:hangingChars="650"/>
        <w:rPr>
          <w:rFonts w:ascii="宋体" w:hAnsi="宋体" w:eastAsia="宋体" w:cs="宋体"/>
          <w:color w:val="000000"/>
          <w:kern w:val="0"/>
          <w:sz w:val="24"/>
          <w:szCs w:val="24"/>
        </w:rPr>
      </w:pPr>
    </w:p>
    <w:p>
      <w:pPr>
        <w:widowControl/>
        <w:wordWrap w:val="0"/>
        <w:spacing w:line="193" w:lineRule="atLeast"/>
        <w:ind w:left="1560" w:hanging="1560" w:hangingChars="650"/>
        <w:rPr>
          <w:rFonts w:ascii="宋体" w:hAnsi="宋体" w:eastAsia="宋体" w:cs="宋体"/>
          <w:color w:val="000000"/>
          <w:kern w:val="0"/>
          <w:sz w:val="24"/>
          <w:szCs w:val="24"/>
        </w:rPr>
      </w:pPr>
    </w:p>
    <w:p>
      <w:pPr>
        <w:widowControl/>
        <w:wordWrap w:val="0"/>
        <w:spacing w:line="193" w:lineRule="atLeast"/>
        <w:ind w:left="1560" w:hanging="1560" w:hangingChars="650"/>
        <w:rPr>
          <w:rFonts w:ascii="宋体" w:hAnsi="宋体" w:eastAsia="宋体" w:cs="宋体"/>
          <w:color w:val="000000"/>
          <w:kern w:val="0"/>
          <w:sz w:val="24"/>
          <w:szCs w:val="24"/>
        </w:rPr>
      </w:pPr>
      <w:r>
        <w:rPr>
          <w:rFonts w:hint="eastAsia" w:ascii="宋体" w:hAnsi="宋体" w:eastAsia="宋体" w:cs="宋体"/>
          <w:color w:val="000000"/>
          <w:kern w:val="0"/>
          <w:sz w:val="24"/>
          <w:szCs w:val="24"/>
        </w:rPr>
        <w:t>包件二：抗缪勒管激素（AMH）测定</w:t>
      </w:r>
    </w:p>
    <w:p>
      <w:pPr>
        <w:rPr>
          <w:rFonts w:ascii="宋体" w:hAnsi="宋体" w:cs="宋体"/>
          <w:color w:val="000000"/>
          <w:kern w:val="0"/>
          <w:sz w:val="24"/>
          <w:lang w:bidi="ar"/>
        </w:rPr>
      </w:pPr>
      <w:r>
        <w:rPr>
          <w:rFonts w:hint="eastAsia" w:ascii="宋体" w:hAnsi="宋体" w:cs="宋体"/>
          <w:color w:val="000000"/>
          <w:kern w:val="0"/>
          <w:sz w:val="24"/>
          <w:lang w:bidi="ar"/>
        </w:rPr>
        <w:t>预估年使用量：300次</w:t>
      </w:r>
    </w:p>
    <w:p>
      <w:pPr>
        <w:rPr>
          <w:rFonts w:ascii="宋体" w:hAnsi="宋体" w:cs="宋体"/>
          <w:color w:val="000000"/>
          <w:kern w:val="0"/>
          <w:sz w:val="24"/>
          <w:lang w:bidi="ar"/>
        </w:rPr>
      </w:pPr>
      <w:r>
        <w:rPr>
          <w:rFonts w:hint="eastAsia" w:ascii="宋体" w:hAnsi="宋体" w:cs="宋体"/>
          <w:color w:val="000000"/>
          <w:kern w:val="0"/>
          <w:sz w:val="24"/>
          <w:lang w:bidi="ar"/>
        </w:rPr>
        <w:t>用途：辅助儿童性发育相关疾病的诊疗</w:t>
      </w:r>
    </w:p>
    <w:tbl>
      <w:tblPr>
        <w:tblStyle w:val="9"/>
        <w:tblW w:w="8435" w:type="dxa"/>
        <w:tblInd w:w="93" w:type="dxa"/>
        <w:tblLayout w:type="fixed"/>
        <w:tblCellMar>
          <w:top w:w="0" w:type="dxa"/>
          <w:left w:w="108" w:type="dxa"/>
          <w:bottom w:w="0" w:type="dxa"/>
          <w:right w:w="108" w:type="dxa"/>
        </w:tblCellMar>
      </w:tblPr>
      <w:tblGrid>
        <w:gridCol w:w="1262"/>
        <w:gridCol w:w="7173"/>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717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招标要求</w:t>
            </w:r>
          </w:p>
        </w:tc>
      </w:tr>
      <w:tr>
        <w:tblPrEx>
          <w:tblCellMar>
            <w:top w:w="0" w:type="dxa"/>
            <w:left w:w="108" w:type="dxa"/>
            <w:bottom w:w="0" w:type="dxa"/>
            <w:right w:w="108" w:type="dxa"/>
          </w:tblCellMar>
        </w:tblPrEx>
        <w:trPr>
          <w:trHeight w:val="1043"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用途：抗缪勒管激素（</w:t>
            </w:r>
            <w:r>
              <w:rPr>
                <w:rFonts w:ascii="宋体" w:hAnsi="宋体" w:cs="宋体"/>
                <w:color w:val="000000"/>
                <w:kern w:val="0"/>
                <w:sz w:val="22"/>
                <w:lang w:bidi="ar"/>
              </w:rPr>
              <w:t>AMH</w:t>
            </w:r>
            <w:r>
              <w:rPr>
                <w:rFonts w:hint="eastAsia" w:ascii="宋体" w:hAnsi="宋体" w:cs="宋体"/>
                <w:color w:val="000000"/>
                <w:kern w:val="0"/>
                <w:sz w:val="22"/>
                <w:lang w:bidi="ar"/>
              </w:rPr>
              <w:t>）是一种与两性发育密切相关的生殖激素，</w:t>
            </w:r>
            <w:r>
              <w:rPr>
                <w:rFonts w:ascii="宋体" w:hAnsi="宋体" w:cs="宋体"/>
                <w:color w:val="000000"/>
                <w:kern w:val="0"/>
                <w:sz w:val="22"/>
                <w:lang w:bidi="ar"/>
              </w:rPr>
              <w:t>AMH</w:t>
            </w:r>
            <w:r>
              <w:rPr>
                <w:rFonts w:hint="eastAsia" w:ascii="宋体" w:hAnsi="宋体" w:cs="宋体"/>
                <w:color w:val="000000"/>
                <w:kern w:val="0"/>
                <w:sz w:val="22"/>
                <w:lang w:bidi="ar"/>
              </w:rPr>
              <w:t>参与了由下丘脑</w:t>
            </w:r>
            <w:r>
              <w:rPr>
                <w:rFonts w:hint="eastAsia" w:ascii="MS Mincho" w:hAnsi="MS Mincho" w:eastAsia="MS Mincho" w:cs="MS Mincho"/>
                <w:color w:val="000000"/>
                <w:kern w:val="0"/>
                <w:sz w:val="22"/>
                <w:lang w:bidi="ar"/>
              </w:rPr>
              <w:t>⁃</w:t>
            </w:r>
            <w:r>
              <w:rPr>
                <w:rFonts w:hint="eastAsia" w:ascii="宋体" w:hAnsi="宋体" w:cs="宋体"/>
                <w:color w:val="000000"/>
                <w:kern w:val="0"/>
                <w:sz w:val="22"/>
                <w:lang w:bidi="ar"/>
              </w:rPr>
              <w:t>垂体</w:t>
            </w:r>
            <w:r>
              <w:rPr>
                <w:rFonts w:hint="eastAsia" w:ascii="MS Mincho" w:hAnsi="MS Mincho" w:eastAsia="MS Mincho" w:cs="MS Mincho"/>
                <w:color w:val="000000"/>
                <w:kern w:val="0"/>
                <w:sz w:val="22"/>
                <w:lang w:bidi="ar"/>
              </w:rPr>
              <w:t>⁃</w:t>
            </w:r>
            <w:r>
              <w:rPr>
                <w:rFonts w:hint="eastAsia" w:ascii="宋体" w:hAnsi="宋体" w:cs="宋体"/>
                <w:color w:val="000000"/>
                <w:kern w:val="0"/>
                <w:sz w:val="22"/>
                <w:lang w:bidi="ar"/>
              </w:rPr>
              <w:t>性腺轴调控的儿童性发育过程，在儿童性腺、性器官的正常发育及生殖功能的成熟中具有重要意义，</w:t>
            </w:r>
            <w:r>
              <w:rPr>
                <w:rFonts w:ascii="宋体" w:hAnsi="宋体" w:cs="宋体"/>
                <w:color w:val="000000"/>
                <w:kern w:val="0"/>
                <w:sz w:val="22"/>
                <w:lang w:bidi="ar"/>
              </w:rPr>
              <w:t xml:space="preserve">AMH </w:t>
            </w:r>
            <w:r>
              <w:rPr>
                <w:rFonts w:hint="eastAsia" w:ascii="宋体" w:hAnsi="宋体" w:cs="宋体"/>
                <w:color w:val="000000"/>
                <w:kern w:val="0"/>
                <w:sz w:val="22"/>
                <w:lang w:bidi="ar"/>
              </w:rPr>
              <w:t>水平的异常变化可能提示儿童性发育相关疾病的发生。</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1.2.1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检测方法：化学发光法</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1.2.2</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检测限：大于</w:t>
            </w:r>
            <w:r>
              <w:rPr>
                <w:rFonts w:ascii="宋体" w:hAnsi="宋体" w:cs="宋体"/>
                <w:color w:val="000000"/>
                <w:kern w:val="0"/>
                <w:sz w:val="22"/>
                <w:lang w:bidi="ar"/>
              </w:rPr>
              <w:t>0.0</w:t>
            </w:r>
            <w:r>
              <w:rPr>
                <w:rFonts w:hint="eastAsia" w:ascii="宋体" w:hAnsi="宋体" w:cs="宋体"/>
                <w:color w:val="000000"/>
                <w:kern w:val="0"/>
                <w:sz w:val="22"/>
                <w:lang w:bidi="ar"/>
              </w:rPr>
              <w:t>2</w:t>
            </w:r>
            <w:r>
              <w:rPr>
                <w:rFonts w:ascii="宋体" w:hAnsi="宋体" w:cs="宋体"/>
                <w:color w:val="000000"/>
                <w:kern w:val="0"/>
                <w:sz w:val="22"/>
                <w:lang w:bidi="ar"/>
              </w:rPr>
              <w:t>ng/ml</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1.2.3</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sz w:val="22"/>
              </w:rPr>
              <w:t>线性范围：</w:t>
            </w:r>
            <w:r>
              <w:rPr>
                <w:rFonts w:ascii="宋体" w:hAnsi="宋体" w:cs="宋体"/>
                <w:color w:val="000000"/>
                <w:sz w:val="22"/>
              </w:rPr>
              <w:t>0.1ng/ml -16ng/mL</w:t>
            </w:r>
            <w:r>
              <w:rPr>
                <w:rFonts w:hint="eastAsia" w:ascii="宋体" w:hAnsi="宋体" w:cs="宋体"/>
                <w:color w:val="000000"/>
                <w:sz w:val="22"/>
              </w:rPr>
              <w:t xml:space="preserve"> </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1.2.4</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sz w:val="22"/>
              </w:rPr>
              <w:t>不精密度：＜10%</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适配仪器：亚辉龙ifash 3000-A或贝克曼DXI800</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eastAsia="宋体" w:cs="宋体"/>
                <w:kern w:val="0"/>
                <w:sz w:val="22"/>
                <w:lang w:bidi="ar"/>
              </w:rPr>
              <w:t>▲</w:t>
            </w:r>
            <w:r>
              <w:rPr>
                <w:rFonts w:hint="eastAsia" w:ascii="宋体" w:hAnsi="宋体" w:cs="宋体"/>
                <w:color w:val="000000"/>
                <w:kern w:val="0"/>
                <w:sz w:val="22"/>
                <w:lang w:bidi="ar"/>
              </w:rPr>
              <w:t>1.4</w:t>
            </w:r>
          </w:p>
        </w:tc>
        <w:tc>
          <w:tcPr>
            <w:tcW w:w="7173"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需三证齐全：生产许可证、医疗器械注册证或国药准字号、经营许可证</w:t>
            </w:r>
          </w:p>
        </w:tc>
      </w:tr>
    </w:tbl>
    <w:p>
      <w:pPr>
        <w:spacing w:line="300" w:lineRule="auto"/>
        <w:rPr>
          <w:rFonts w:asciiTheme="minorEastAsia" w:hAnsiTheme="minorEastAsia"/>
          <w:sz w:val="24"/>
          <w:szCs w:val="24"/>
        </w:rPr>
      </w:pPr>
    </w:p>
    <w:p>
      <w:pPr>
        <w:spacing w:line="300" w:lineRule="auto"/>
        <w:rPr>
          <w:rFonts w:asciiTheme="minorEastAsia" w:hAnsiTheme="minorEastAsia"/>
          <w:sz w:val="24"/>
          <w:szCs w:val="24"/>
        </w:rPr>
      </w:pPr>
    </w:p>
    <w:p>
      <w:pPr>
        <w:spacing w:line="30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包件三：单纯疱疹病毒I、II分型核酸检测（荧光PCR法）</w:t>
      </w:r>
    </w:p>
    <w:p>
      <w:pPr>
        <w:rPr>
          <w:rFonts w:ascii="宋体" w:hAnsi="宋体" w:cs="宋体"/>
          <w:color w:val="000000"/>
          <w:kern w:val="0"/>
          <w:sz w:val="24"/>
          <w:lang w:bidi="ar"/>
        </w:rPr>
      </w:pPr>
      <w:r>
        <w:rPr>
          <w:rFonts w:hint="eastAsia" w:ascii="宋体" w:hAnsi="宋体" w:cs="宋体"/>
          <w:color w:val="000000"/>
          <w:kern w:val="0"/>
          <w:sz w:val="24"/>
          <w:lang w:bidi="ar"/>
        </w:rPr>
        <w:t>预估年使用量：800次</w:t>
      </w:r>
    </w:p>
    <w:p>
      <w:pPr>
        <w:rPr>
          <w:rFonts w:ascii="宋体" w:hAnsi="宋体" w:cs="宋体"/>
          <w:color w:val="000000"/>
          <w:kern w:val="0"/>
          <w:sz w:val="24"/>
          <w:lang w:bidi="ar"/>
        </w:rPr>
      </w:pPr>
      <w:r>
        <w:rPr>
          <w:rFonts w:hint="eastAsia" w:ascii="宋体" w:hAnsi="宋体" w:cs="宋体"/>
          <w:color w:val="000000"/>
          <w:kern w:val="0"/>
          <w:sz w:val="24"/>
          <w:lang w:bidi="ar"/>
        </w:rPr>
        <w:t>用途：</w:t>
      </w:r>
      <w:r>
        <w:rPr>
          <w:rFonts w:hint="eastAsia" w:ascii="宋体" w:hAnsi="宋体" w:cs="宋体"/>
          <w:color w:val="000000"/>
          <w:kern w:val="0"/>
          <w:sz w:val="22"/>
          <w:lang w:bidi="ar"/>
        </w:rPr>
        <w:t>临床HSV感染类型的判断及辅助诊疗</w:t>
      </w:r>
    </w:p>
    <w:tbl>
      <w:tblPr>
        <w:tblStyle w:val="9"/>
        <w:tblW w:w="8435" w:type="dxa"/>
        <w:tblInd w:w="93" w:type="dxa"/>
        <w:tblLayout w:type="fixed"/>
        <w:tblCellMar>
          <w:top w:w="0" w:type="dxa"/>
          <w:left w:w="108" w:type="dxa"/>
          <w:bottom w:w="0" w:type="dxa"/>
          <w:right w:w="108" w:type="dxa"/>
        </w:tblCellMar>
      </w:tblPr>
      <w:tblGrid>
        <w:gridCol w:w="1262"/>
        <w:gridCol w:w="7173"/>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717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招标要求</w:t>
            </w:r>
          </w:p>
        </w:tc>
      </w:tr>
      <w:tr>
        <w:tblPrEx>
          <w:tblCellMar>
            <w:top w:w="0" w:type="dxa"/>
            <w:left w:w="108" w:type="dxa"/>
            <w:bottom w:w="0" w:type="dxa"/>
            <w:right w:w="108" w:type="dxa"/>
          </w:tblCellMar>
        </w:tblPrEx>
        <w:trPr>
          <w:trHeight w:val="1043"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用途：HSV I型主要引发躯体腰以上部位皮肤黏膜和中枢神经系统的感染，感染多见于儿童，常引起口腔齿龈和口腔炎。HSVII型可经生殖道引起新生儿感染，引起生殖器疱疹、幼儿龈口炎、儿童疱疹唇炎及角膜炎。通过HSV的分型检测，可辅助临床HSV感染类型的判断。</w:t>
            </w:r>
          </w:p>
        </w:tc>
      </w:tr>
      <w:tr>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1.2.1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检测方法：PCR-荧光探针法</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1.2.2</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最低检测限：1x10^3copies/mL </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1.2.3</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不精密度：</w:t>
            </w:r>
            <w:r>
              <w:rPr>
                <w:rFonts w:ascii="宋体" w:hAnsi="宋体" w:cs="宋体"/>
                <w:kern w:val="0"/>
                <w:sz w:val="22"/>
                <w:lang w:bidi="ar"/>
              </w:rPr>
              <w:t>CV</w:t>
            </w:r>
            <w:r>
              <w:rPr>
                <w:rFonts w:cs="宋体"/>
                <w:kern w:val="0"/>
                <w:sz w:val="22"/>
                <w:lang w:bidi="ar"/>
              </w:rPr>
              <w:t>均＜</w:t>
            </w:r>
            <w:r>
              <w:rPr>
                <w:rFonts w:ascii="宋体" w:hAnsi="宋体" w:cs="宋体"/>
                <w:kern w:val="0"/>
                <w:sz w:val="22"/>
                <w:lang w:bidi="ar"/>
              </w:rPr>
              <w:t>5%</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1.2.4</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sz w:val="22"/>
              </w:rPr>
              <w:t>特异性：与其他病原体如淋球菌、解脲支原体、沙眼衣原体、人乳头瘤病毒6型、人乳头瘤病毒II型、弓形虫、人型支原体、鼻咽癌病毒、人疱疹病毒6型、人疱疹病毒8型均不会发生交叉反应。</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适配仪器：荧光定量PCR仪</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lang w:bidi="ar"/>
              </w:rPr>
            </w:pPr>
            <w:r>
              <w:rPr>
                <w:rFonts w:hint="eastAsia" w:ascii="宋体" w:hAnsi="宋体" w:eastAsia="宋体" w:cs="宋体"/>
                <w:kern w:val="0"/>
                <w:sz w:val="22"/>
                <w:lang w:bidi="ar"/>
              </w:rPr>
              <w:t>▲</w:t>
            </w:r>
            <w:r>
              <w:rPr>
                <w:rFonts w:hint="eastAsia" w:ascii="宋体" w:hAnsi="宋体" w:cs="宋体"/>
                <w:color w:val="000000"/>
                <w:kern w:val="0"/>
                <w:sz w:val="22"/>
                <w:lang w:bidi="ar"/>
              </w:rPr>
              <w:t>1.4</w:t>
            </w:r>
          </w:p>
        </w:tc>
        <w:tc>
          <w:tcPr>
            <w:tcW w:w="7173"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需三证齐全：生产许可证、医疗器械注册证或国药准字号、经营许可证</w:t>
            </w:r>
          </w:p>
        </w:tc>
      </w:tr>
    </w:tbl>
    <w:p>
      <w:pPr>
        <w:spacing w:line="300" w:lineRule="auto"/>
        <w:rPr>
          <w:rFonts w:ascii="宋体" w:hAnsi="宋体" w:eastAsia="宋体" w:cs="宋体"/>
          <w:color w:val="000000"/>
          <w:kern w:val="0"/>
          <w:sz w:val="24"/>
          <w:szCs w:val="24"/>
        </w:rPr>
      </w:pPr>
    </w:p>
    <w:p>
      <w:pPr>
        <w:spacing w:line="30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包件四：血氨测定干片（干化学法）</w:t>
      </w:r>
    </w:p>
    <w:p>
      <w:pPr>
        <w:spacing w:line="30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预估年使用量：1800次</w:t>
      </w:r>
    </w:p>
    <w:p>
      <w:pPr>
        <w:spacing w:line="30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用途：用于定量测定血浆中氨的含量。</w:t>
      </w:r>
    </w:p>
    <w:tbl>
      <w:tblPr>
        <w:tblStyle w:val="9"/>
        <w:tblW w:w="8435" w:type="dxa"/>
        <w:tblInd w:w="93" w:type="dxa"/>
        <w:tblLayout w:type="fixed"/>
        <w:tblCellMar>
          <w:top w:w="0" w:type="dxa"/>
          <w:left w:w="108" w:type="dxa"/>
          <w:bottom w:w="0" w:type="dxa"/>
          <w:right w:w="108" w:type="dxa"/>
        </w:tblCellMar>
      </w:tblPr>
      <w:tblGrid>
        <w:gridCol w:w="1262"/>
        <w:gridCol w:w="7173"/>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序号</w:t>
            </w:r>
          </w:p>
        </w:tc>
        <w:tc>
          <w:tcPr>
            <w:tcW w:w="717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招标要求</w:t>
            </w:r>
          </w:p>
        </w:tc>
      </w:tr>
      <w:tr>
        <w:tblPrEx>
          <w:tblCellMar>
            <w:top w:w="0" w:type="dxa"/>
            <w:left w:w="108" w:type="dxa"/>
            <w:bottom w:w="0" w:type="dxa"/>
            <w:right w:w="108" w:type="dxa"/>
          </w:tblCellMar>
        </w:tblPrEx>
        <w:trPr>
          <w:trHeight w:val="1043"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用途：该产品用于定量测定血浆中氨的含量，氨是蛋白质代谢所产生的废物，它对中枢神经系统有潜在毒副作用。血氨升高可能预示肝性脑病、肝硬化末期肝昏迷、肝衰竭、急性/亚急性肝坏死和雷氏综合症、高氨血症在饮食蛋白过多摄入时也有发现。</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1.2.1</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检测方法：比色法/干化学法</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1.2.2</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线性范围：</w:t>
            </w:r>
            <w:r>
              <w:rPr>
                <w:rFonts w:ascii="宋体" w:hAnsi="宋体" w:cs="宋体"/>
                <w:color w:val="auto"/>
                <w:kern w:val="0"/>
                <w:sz w:val="22"/>
                <w:lang w:bidi="ar"/>
              </w:rPr>
              <w:t>8.7-500umol/L</w:t>
            </w:r>
            <w:r>
              <w:rPr>
                <w:rFonts w:hint="eastAsia" w:ascii="宋体" w:hAnsi="宋体" w:cs="宋体"/>
                <w:color w:val="auto"/>
                <w:kern w:val="0"/>
                <w:sz w:val="22"/>
                <w:lang w:bidi="ar"/>
              </w:rPr>
              <w:t xml:space="preserve"> </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1.2.3</w:t>
            </w:r>
          </w:p>
        </w:tc>
        <w:tc>
          <w:tcPr>
            <w:tcW w:w="7173"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不精密度：</w:t>
            </w:r>
            <w:r>
              <w:rPr>
                <w:rFonts w:ascii="宋体" w:hAnsi="宋体" w:cs="宋体"/>
                <w:color w:val="auto"/>
                <w:kern w:val="0"/>
                <w:sz w:val="22"/>
                <w:lang w:bidi="ar"/>
              </w:rPr>
              <w:t>CV</w:t>
            </w:r>
            <w:r>
              <w:rPr>
                <w:rFonts w:cs="宋体"/>
                <w:color w:val="auto"/>
                <w:kern w:val="0"/>
                <w:sz w:val="22"/>
                <w:lang w:bidi="ar"/>
              </w:rPr>
              <w:t>均＜</w:t>
            </w:r>
            <w:r>
              <w:rPr>
                <w:rFonts w:ascii="宋体" w:hAnsi="宋体" w:cs="宋体"/>
                <w:color w:val="auto"/>
                <w:kern w:val="0"/>
                <w:sz w:val="22"/>
                <w:lang w:bidi="ar"/>
              </w:rPr>
              <w:t>10%</w:t>
            </w:r>
          </w:p>
        </w:tc>
      </w:tr>
      <w:tr>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1.3</w:t>
            </w:r>
          </w:p>
        </w:tc>
        <w:tc>
          <w:tcPr>
            <w:tcW w:w="71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适配仪器：</w:t>
            </w:r>
            <w:r>
              <w:rPr>
                <w:rFonts w:ascii="宋体" w:hAnsi="宋体" w:cs="宋体"/>
                <w:color w:val="auto"/>
                <w:sz w:val="22"/>
              </w:rPr>
              <w:t xml:space="preserve"> VITROS 350</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eastAsia="宋体" w:cs="宋体"/>
                <w:color w:val="auto"/>
                <w:kern w:val="0"/>
                <w:sz w:val="22"/>
                <w:lang w:bidi="ar"/>
              </w:rPr>
              <w:t>▲</w:t>
            </w:r>
            <w:r>
              <w:rPr>
                <w:rFonts w:hint="eastAsia" w:ascii="宋体" w:hAnsi="宋体" w:cs="宋体"/>
                <w:color w:val="auto"/>
                <w:kern w:val="0"/>
                <w:sz w:val="22"/>
                <w:lang w:bidi="ar"/>
              </w:rPr>
              <w:t>1.4</w:t>
            </w:r>
          </w:p>
        </w:tc>
        <w:tc>
          <w:tcPr>
            <w:tcW w:w="7173"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需三证齐全：生产许可证、医疗器械注册证或国药准字号、经营许可证</w:t>
            </w:r>
          </w:p>
          <w:p>
            <w:pPr>
              <w:widowControl/>
              <w:jc w:val="left"/>
              <w:textAlignment w:val="center"/>
              <w:rPr>
                <w:rFonts w:ascii="宋体" w:hAnsi="宋体" w:cs="宋体"/>
                <w:color w:val="auto"/>
                <w:sz w:val="22"/>
              </w:rPr>
            </w:pPr>
            <w:r>
              <w:rPr>
                <w:rFonts w:hint="eastAsia" w:ascii="宋体" w:hAnsi="宋体" w:eastAsia="宋体" w:cs="宋体"/>
                <w:color w:val="auto"/>
                <w:kern w:val="0"/>
                <w:sz w:val="22"/>
              </w:rPr>
              <w:t>赠送血氨与脑脊液蛋白复合校准品，配备扫描配件。</w:t>
            </w:r>
          </w:p>
        </w:tc>
      </w:tr>
    </w:tbl>
    <w:p>
      <w:pPr>
        <w:spacing w:line="300" w:lineRule="auto"/>
        <w:rPr>
          <w:rFonts w:hint="eastAsia" w:ascii="宋体" w:hAnsi="宋体" w:eastAsia="宋体" w:cs="宋体"/>
          <w:color w:val="000000"/>
          <w:kern w:val="0"/>
          <w:sz w:val="24"/>
          <w:szCs w:val="24"/>
        </w:rPr>
      </w:pPr>
    </w:p>
    <w:p>
      <w:pPr>
        <w:spacing w:line="300" w:lineRule="auto"/>
        <w:rPr>
          <w:rFonts w:ascii="宋体" w:hAnsi="宋体" w:eastAsia="宋体" w:cs="宋体"/>
          <w:color w:val="000000"/>
          <w:kern w:val="0"/>
          <w:sz w:val="24"/>
          <w:szCs w:val="24"/>
        </w:rPr>
      </w:pPr>
    </w:p>
    <w:p>
      <w:pPr>
        <w:spacing w:line="300" w:lineRule="auto"/>
        <w:rPr>
          <w:rFonts w:asciiTheme="minorEastAsia" w:hAnsiTheme="minorEastAsia"/>
          <w:sz w:val="24"/>
          <w:szCs w:val="24"/>
        </w:rPr>
      </w:pPr>
      <w:r>
        <w:rPr>
          <w:rFonts w:hint="eastAsia" w:asciiTheme="minorEastAsia" w:hAnsiTheme="minorEastAsia"/>
          <w:sz w:val="24"/>
          <w:szCs w:val="24"/>
        </w:rPr>
        <w:t>1、提供产品清单，包括产品信息和报价。</w:t>
      </w:r>
    </w:p>
    <w:p>
      <w:pPr>
        <w:spacing w:line="300" w:lineRule="auto"/>
        <w:rPr>
          <w:rFonts w:asciiTheme="minorEastAsia" w:hAnsiTheme="minorEastAsia"/>
          <w:sz w:val="24"/>
          <w:szCs w:val="24"/>
        </w:rPr>
      </w:pPr>
      <w:r>
        <w:rPr>
          <w:rFonts w:hint="eastAsia" w:asciiTheme="minorEastAsia" w:hAnsiTheme="minorEastAsia"/>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spacing w:line="300" w:lineRule="auto"/>
        <w:rPr>
          <w:rFonts w:asciiTheme="minorEastAsia" w:hAnsiTheme="minorEastAsia"/>
          <w:sz w:val="24"/>
          <w:szCs w:val="24"/>
        </w:rPr>
      </w:pPr>
      <w:r>
        <w:rPr>
          <w:rFonts w:hint="eastAsia" w:asciiTheme="minorEastAsia" w:hAnsiTheme="minorEastAsia"/>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项目收费价格、扣率等。</w:t>
      </w:r>
    </w:p>
    <w:p>
      <w:pPr>
        <w:spacing w:line="300" w:lineRule="auto"/>
        <w:rPr>
          <w:rFonts w:asciiTheme="minorEastAsia" w:hAnsiTheme="minorEastAsia"/>
          <w:sz w:val="24"/>
          <w:szCs w:val="24"/>
        </w:rPr>
      </w:pPr>
      <w:r>
        <w:rPr>
          <w:rFonts w:hint="eastAsia" w:asciiTheme="minorEastAsia" w:hAnsiTheme="minorEastAsia"/>
          <w:sz w:val="24"/>
          <w:szCs w:val="24"/>
        </w:rPr>
        <w:t>2、提供本市三级公立医院试剂价格发票复印件。</w:t>
      </w:r>
    </w:p>
    <w:p>
      <w:pPr>
        <w:spacing w:line="300" w:lineRule="auto"/>
        <w:rPr>
          <w:rFonts w:asciiTheme="minorEastAsia" w:hAnsiTheme="minorEastAsia"/>
          <w:sz w:val="24"/>
          <w:szCs w:val="24"/>
        </w:rPr>
      </w:pPr>
      <w:r>
        <w:rPr>
          <w:rFonts w:hint="eastAsia" w:asciiTheme="minorEastAsia" w:hAnsiTheme="minorEastAsia"/>
          <w:sz w:val="24"/>
          <w:szCs w:val="24"/>
        </w:rPr>
        <w:t>3、试剂价格5年内不得上涨；但受收费政策、新技术发展、应用规模、竞争产品、同行比照等因素影响，应配合价格评估并及时对价格下调。</w:t>
      </w:r>
    </w:p>
    <w:p>
      <w:pPr>
        <w:spacing w:line="300" w:lineRule="auto"/>
        <w:rPr>
          <w:rFonts w:asciiTheme="minorEastAsia" w:hAnsiTheme="minorEastAsia"/>
          <w:sz w:val="24"/>
          <w:szCs w:val="24"/>
        </w:rPr>
      </w:pPr>
      <w:r>
        <w:rPr>
          <w:rFonts w:hint="eastAsia" w:asciiTheme="minorEastAsia" w:hAnsiTheme="minorEastAsia"/>
          <w:sz w:val="24"/>
          <w:szCs w:val="24"/>
        </w:rPr>
        <w:t>4、提供产品资证、相关说明书、存储要求、供应包装与标签等文件。</w:t>
      </w:r>
    </w:p>
    <w:p>
      <w:pPr>
        <w:spacing w:line="300" w:lineRule="auto"/>
        <w:rPr>
          <w:rFonts w:asciiTheme="minorEastAsia" w:hAnsiTheme="minorEastAsia"/>
          <w:sz w:val="24"/>
          <w:szCs w:val="24"/>
        </w:rPr>
      </w:pPr>
      <w:r>
        <w:rPr>
          <w:rFonts w:hint="eastAsia" w:asciiTheme="minorEastAsia" w:hAnsiTheme="minor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pPr>
        <w:spacing w:line="300" w:lineRule="auto"/>
        <w:rPr>
          <w:rFonts w:asciiTheme="minorEastAsia" w:hAnsiTheme="minorEastAsia"/>
          <w:sz w:val="24"/>
          <w:szCs w:val="24"/>
        </w:rPr>
      </w:pPr>
      <w:r>
        <w:rPr>
          <w:rFonts w:hint="eastAsia" w:asciiTheme="minorEastAsia" w:hAnsiTheme="minorEastAsia"/>
          <w:sz w:val="24"/>
          <w:szCs w:val="24"/>
        </w:rPr>
        <w:t>（2）进口产品，须同时提供原版与中文的相关说明书。</w:t>
      </w:r>
    </w:p>
    <w:p>
      <w:pPr>
        <w:spacing w:line="300" w:lineRule="auto"/>
        <w:rPr>
          <w:rFonts w:asciiTheme="minorEastAsia" w:hAnsiTheme="minorEastAsia"/>
          <w:sz w:val="24"/>
          <w:szCs w:val="24"/>
        </w:rPr>
      </w:pPr>
      <w:r>
        <w:rPr>
          <w:rFonts w:hint="eastAsia" w:asciiTheme="minorEastAsia" w:hAnsiTheme="minorEastAsia"/>
          <w:sz w:val="24"/>
          <w:szCs w:val="24"/>
        </w:rPr>
        <w:t>5、接到院方通知后保证24小时内配送到达服务，保障临床需求。</w:t>
      </w:r>
    </w:p>
    <w:p>
      <w:pPr>
        <w:spacing w:line="300" w:lineRule="auto"/>
        <w:rPr>
          <w:rFonts w:asciiTheme="minorEastAsia" w:hAnsiTheme="minorEastAsia"/>
          <w:sz w:val="24"/>
          <w:szCs w:val="24"/>
        </w:rPr>
      </w:pPr>
      <w:r>
        <w:rPr>
          <w:rFonts w:hint="eastAsia" w:asciiTheme="minorEastAsia" w:hAnsiTheme="minorEastAsia"/>
          <w:sz w:val="24"/>
          <w:szCs w:val="24"/>
        </w:rPr>
        <w:t>6、提供的产品需符合国家关于质量、运输、存储、安全的规定与要求，并通过实验室质量管理要求的相关性能验证。</w:t>
      </w:r>
    </w:p>
    <w:p>
      <w:pPr>
        <w:spacing w:line="300" w:lineRule="auto"/>
        <w:rPr>
          <w:rFonts w:asciiTheme="minorEastAsia" w:hAnsiTheme="minorEastAsia"/>
          <w:sz w:val="24"/>
          <w:szCs w:val="24"/>
        </w:rPr>
      </w:pPr>
      <w:r>
        <w:rPr>
          <w:rFonts w:hint="eastAsia" w:asciiTheme="minorEastAsia" w:hAnsiTheme="minorEastAsia"/>
          <w:sz w:val="24"/>
          <w:szCs w:val="24"/>
        </w:rPr>
        <w:t>7、提供完善的培训、指导等技术支持，保障临床应用。</w:t>
      </w:r>
    </w:p>
    <w:p>
      <w:pPr>
        <w:spacing w:line="300" w:lineRule="auto"/>
        <w:rPr>
          <w:rFonts w:asciiTheme="minorEastAsia" w:hAnsiTheme="minorEastAsia"/>
          <w:sz w:val="24"/>
          <w:szCs w:val="24"/>
        </w:rPr>
      </w:pPr>
      <w:r>
        <w:rPr>
          <w:rFonts w:hint="eastAsia" w:asciiTheme="minorEastAsia" w:hAnsiTheme="minorEastAsia"/>
          <w:sz w:val="24"/>
          <w:szCs w:val="24"/>
        </w:rPr>
        <w:t>8、提供完善的应急预案，以保证出现突发或意外情况时，不影响院方的正常工作。应急预案应包括：产品的应急、物流的应急等。</w:t>
      </w:r>
    </w:p>
    <w:p>
      <w:pPr>
        <w:spacing w:line="300" w:lineRule="auto"/>
        <w:rPr>
          <w:rFonts w:asciiTheme="minorEastAsia" w:hAnsiTheme="minorEastAsia"/>
          <w:sz w:val="24"/>
          <w:szCs w:val="24"/>
        </w:rPr>
      </w:pPr>
      <w:r>
        <w:rPr>
          <w:rFonts w:hint="eastAsia" w:asciiTheme="minorEastAsia" w:hAnsiTheme="minorEastAsia"/>
          <w:sz w:val="24"/>
          <w:szCs w:val="24"/>
        </w:rPr>
        <w:t>9、保障产品质量并及时供应，并接受院方因为临床需求变更、产品升级及其它质量、价格等变化而提出的服务期结束要求。</w:t>
      </w:r>
    </w:p>
    <w:p>
      <w:pPr>
        <w:spacing w:line="300" w:lineRule="auto"/>
        <w:rPr>
          <w:rFonts w:asciiTheme="minorEastAsia" w:hAnsiTheme="minorEastAsia"/>
          <w:sz w:val="24"/>
          <w:szCs w:val="24"/>
        </w:rPr>
      </w:pPr>
      <w:r>
        <w:rPr>
          <w:rFonts w:hint="eastAsia" w:asciiTheme="minorEastAsia" w:hAnsiTheme="minorEastAsia"/>
          <w:sz w:val="24"/>
          <w:szCs w:val="24"/>
        </w:rPr>
        <w:t>10、院方在实际使用过程中，若发现无效产品，或出现产品与医疗器械注册证等相关证明文件的信息不相符的情况，供应商须无偿补足损耗并承担相应责任。</w:t>
      </w:r>
    </w:p>
    <w:p>
      <w:pPr>
        <w:spacing w:line="300" w:lineRule="auto"/>
        <w:rPr>
          <w:rFonts w:asciiTheme="minorEastAsia" w:hAnsiTheme="minorEastAsia"/>
          <w:sz w:val="24"/>
          <w:szCs w:val="24"/>
        </w:rPr>
      </w:pPr>
      <w:r>
        <w:rPr>
          <w:rFonts w:hint="eastAsia" w:asciiTheme="minorEastAsia" w:hAnsiTheme="minorEastAsia"/>
          <w:sz w:val="24"/>
          <w:szCs w:val="24"/>
        </w:rPr>
        <w:t>11、院方在实际使用过程中，若发现有不合格产品，供应商须对所有剩余产品进行无条件更换。</w:t>
      </w:r>
    </w:p>
    <w:p>
      <w:pPr>
        <w:spacing w:line="300" w:lineRule="auto"/>
        <w:rPr>
          <w:rFonts w:asciiTheme="minorEastAsia" w:hAnsiTheme="minorEastAsia"/>
          <w:sz w:val="24"/>
          <w:szCs w:val="24"/>
        </w:rPr>
      </w:pPr>
      <w:r>
        <w:rPr>
          <w:rFonts w:hint="eastAsia" w:asciiTheme="minorEastAsia" w:hAnsiTheme="minorEastAsia"/>
          <w:sz w:val="24"/>
          <w:szCs w:val="24"/>
        </w:rPr>
        <w:t>12、供应商所供货物自用户验收之日起计算，剩余有效期要求≥6个月；对有效期≤6个月的货物，供应商须在产品有效期内提供无条件更换服务。</w:t>
      </w:r>
    </w:p>
    <w:p>
      <w:pPr>
        <w:spacing w:line="300" w:lineRule="auto"/>
        <w:rPr>
          <w:rFonts w:asciiTheme="minorEastAsia" w:hAnsiTheme="minorEastAsia"/>
          <w:sz w:val="24"/>
          <w:szCs w:val="24"/>
        </w:rPr>
      </w:pPr>
      <w:r>
        <w:rPr>
          <w:rFonts w:hint="eastAsia" w:asciiTheme="minorEastAsia" w:hAnsiTheme="minorEastAsia"/>
          <w:sz w:val="24"/>
          <w:szCs w:val="24"/>
        </w:rPr>
        <w:t>13、积极配合院方完成相关质控工作。</w:t>
      </w:r>
    </w:p>
    <w:p>
      <w:pPr>
        <w:spacing w:line="300" w:lineRule="auto"/>
        <w:rPr>
          <w:rFonts w:asciiTheme="minorEastAsia" w:hAnsiTheme="minorEastAsia"/>
          <w:sz w:val="24"/>
          <w:szCs w:val="24"/>
        </w:rPr>
      </w:pPr>
      <w:r>
        <w:rPr>
          <w:rFonts w:hint="eastAsia" w:asciiTheme="minorEastAsia" w:hAnsiTheme="minorEastAsia"/>
          <w:sz w:val="24"/>
          <w:szCs w:val="24"/>
        </w:rPr>
        <w:t>14、产品在上海市临检中心室间质控检测中出现不合格的，院方有权废除其中选资格，结束其服务，且由此产生的费用由供应商承担。</w:t>
      </w:r>
    </w:p>
    <w:p>
      <w:pPr>
        <w:spacing w:line="300" w:lineRule="auto"/>
        <w:rPr>
          <w:rFonts w:asciiTheme="minorEastAsia" w:hAnsiTheme="minorEastAsia"/>
          <w:sz w:val="24"/>
          <w:szCs w:val="24"/>
        </w:rPr>
      </w:pPr>
      <w:r>
        <w:rPr>
          <w:rFonts w:hint="eastAsia" w:asciiTheme="minorEastAsia" w:hAnsiTheme="minorEastAsia"/>
          <w:sz w:val="24"/>
          <w:szCs w:val="24"/>
        </w:rPr>
        <w:t>15、若因产品质量问题或技术支持不够完善，引起的患者伤害及一切不良后果，供应商将承担由此引发的全部法律责任及经济赔偿。</w:t>
      </w:r>
    </w:p>
    <w:p>
      <w:pPr>
        <w:widowControl/>
        <w:wordWrap w:val="0"/>
        <w:spacing w:line="193" w:lineRule="atLeast"/>
        <w:rPr>
          <w:rFonts w:hint="eastAsia" w:asciiTheme="minorEastAsia" w:hAnsiTheme="minorEastAsia"/>
          <w:color w:val="FF0000"/>
          <w:sz w:val="24"/>
          <w:szCs w:val="24"/>
        </w:rPr>
      </w:pPr>
      <w:r>
        <w:rPr>
          <w:rFonts w:hint="eastAsia" w:asciiTheme="minorEastAsia" w:hAnsiTheme="minorEastAsia"/>
          <w:color w:val="FF0000"/>
          <w:sz w:val="24"/>
          <w:szCs w:val="24"/>
        </w:rPr>
        <w:t>1</w:t>
      </w:r>
      <w:r>
        <w:rPr>
          <w:rFonts w:asciiTheme="minorEastAsia" w:hAnsiTheme="minorEastAsia"/>
          <w:color w:val="FF0000"/>
          <w:sz w:val="24"/>
          <w:szCs w:val="24"/>
        </w:rPr>
        <w:t>6.</w:t>
      </w:r>
      <w:r>
        <w:rPr>
          <w:rFonts w:hint="eastAsia" w:asciiTheme="minorEastAsia" w:hAnsiTheme="minorEastAsia"/>
          <w:color w:val="FF0000"/>
          <w:sz w:val="24"/>
          <w:szCs w:val="24"/>
        </w:rPr>
        <w:t xml:space="preserve"> 我院由体外诊断试剂IVD集中供应服务商进行试剂和耗材的集中管理，积极配合院方完成相关工作。</w:t>
      </w:r>
    </w:p>
    <w:p>
      <w:pPr>
        <w:spacing w:line="300" w:lineRule="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7</w:t>
      </w:r>
      <w:r>
        <w:rPr>
          <w:rFonts w:hint="eastAsia" w:asciiTheme="minorEastAsia" w:hAnsiTheme="minorEastAsia"/>
          <w:sz w:val="24"/>
          <w:szCs w:val="24"/>
        </w:rPr>
        <w:t>．报价一览表（公司须按照如下报价要求进行报价）</w:t>
      </w:r>
    </w:p>
    <w:p>
      <w:pPr>
        <w:spacing w:line="300" w:lineRule="auto"/>
        <w:rPr>
          <w:rFonts w:asciiTheme="minorEastAsia" w:hAnsiTheme="minorEastAsia"/>
          <w:sz w:val="24"/>
          <w:szCs w:val="24"/>
        </w:rPr>
      </w:pPr>
      <w:r>
        <w:rPr>
          <w:rFonts w:hint="eastAsia" w:asciiTheme="minorEastAsia" w:hAnsiTheme="minorEastAsia"/>
          <w:sz w:val="24"/>
          <w:szCs w:val="24"/>
        </w:rPr>
        <w:t>（说明：若试剂为非人份包装，单人份投标价格需按照每毫升报价除以厂家说明书注明的每毫升理论测试数提供）</w:t>
      </w:r>
    </w:p>
    <w:p>
      <w:pPr>
        <w:widowControl/>
        <w:wordWrap w:val="0"/>
        <w:spacing w:line="193" w:lineRule="atLeast"/>
        <w:rPr>
          <w:rFonts w:asciiTheme="minorEastAsia" w:hAnsiTheme="minorEastAsia"/>
          <w:sz w:val="24"/>
          <w:szCs w:val="24"/>
        </w:rPr>
      </w:pPr>
    </w:p>
    <w:tbl>
      <w:tblPr>
        <w:tblStyle w:val="9"/>
        <w:tblpPr w:leftFromText="180" w:rightFromText="180" w:vertAnchor="text" w:horzAnchor="margin" w:tblpXSpec="center" w:tblpY="41"/>
        <w:tblOverlap w:val="never"/>
        <w:tblW w:w="98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spacing w:line="360" w:lineRule="auto"/>
              <w:jc w:val="center"/>
              <w:rPr>
                <w:rFonts w:ascii="宋体" w:hAnsi="宋体"/>
                <w:sz w:val="22"/>
              </w:rPr>
            </w:pPr>
            <w:r>
              <w:rPr>
                <w:rFonts w:hint="eastAsia" w:ascii="宋体" w:hAnsi="宋体"/>
                <w:sz w:val="22"/>
              </w:rPr>
              <w:t>序号</w:t>
            </w:r>
          </w:p>
        </w:tc>
        <w:tc>
          <w:tcPr>
            <w:tcW w:w="471" w:type="dxa"/>
            <w:vMerge w:val="restart"/>
          </w:tcPr>
          <w:p>
            <w:pPr>
              <w:jc w:val="center"/>
              <w:rPr>
                <w:rFonts w:ascii="宋体" w:hAnsi="宋体"/>
                <w:sz w:val="22"/>
              </w:rPr>
            </w:pPr>
            <w:r>
              <w:rPr>
                <w:rFonts w:hint="eastAsia" w:ascii="宋体" w:hAnsi="宋体"/>
                <w:sz w:val="22"/>
              </w:rPr>
              <w:t>项目名称</w:t>
            </w:r>
          </w:p>
        </w:tc>
        <w:tc>
          <w:tcPr>
            <w:tcW w:w="471" w:type="dxa"/>
            <w:vMerge w:val="restart"/>
          </w:tcPr>
          <w:p>
            <w:pPr>
              <w:jc w:val="center"/>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widowControl/>
              <w:jc w:val="center"/>
              <w:rPr>
                <w:rFonts w:ascii="宋体" w:hAnsi="宋体"/>
                <w:sz w:val="22"/>
              </w:rPr>
            </w:pPr>
            <w:r>
              <w:rPr>
                <w:rFonts w:hint="eastAsia" w:ascii="宋体" w:hAnsi="宋体"/>
                <w:sz w:val="22"/>
              </w:rPr>
              <w:t>投标试剂注册证名称</w:t>
            </w:r>
          </w:p>
        </w:tc>
        <w:tc>
          <w:tcPr>
            <w:tcW w:w="1308" w:type="dxa"/>
            <w:gridSpan w:val="3"/>
            <w:vAlign w:val="center"/>
          </w:tcPr>
          <w:p>
            <w:pPr>
              <w:widowControl/>
              <w:jc w:val="center"/>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widowControl/>
              <w:jc w:val="center"/>
              <w:rPr>
                <w:rFonts w:ascii="宋体" w:hAnsi="宋体"/>
                <w:sz w:val="22"/>
              </w:rPr>
            </w:pPr>
            <w:r>
              <w:rPr>
                <w:rFonts w:hint="eastAsia" w:ascii="宋体" w:hAnsi="宋体"/>
                <w:sz w:val="22"/>
              </w:rPr>
              <w:t>试剂规格（按注册证填写）</w:t>
            </w:r>
          </w:p>
        </w:tc>
        <w:tc>
          <w:tcPr>
            <w:tcW w:w="609" w:type="dxa"/>
            <w:vMerge w:val="restart"/>
          </w:tcPr>
          <w:p>
            <w:pPr>
              <w:widowControl/>
              <w:spacing w:line="252" w:lineRule="atLeast"/>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widowControl/>
              <w:jc w:val="center"/>
              <w:rPr>
                <w:rFonts w:ascii="宋体" w:hAnsi="宋体"/>
                <w:sz w:val="22"/>
              </w:rPr>
            </w:pPr>
            <w:r>
              <w:rPr>
                <w:rFonts w:hint="eastAsia" w:ascii="宋体" w:hAnsi="宋体"/>
                <w:sz w:val="22"/>
              </w:rPr>
              <w:t>生产厂家名称</w:t>
            </w:r>
          </w:p>
        </w:tc>
        <w:tc>
          <w:tcPr>
            <w:tcW w:w="662" w:type="dxa"/>
            <w:vMerge w:val="restart"/>
            <w:vAlign w:val="center"/>
          </w:tcPr>
          <w:p>
            <w:pPr>
              <w:widowControl/>
              <w:jc w:val="center"/>
              <w:rPr>
                <w:rFonts w:ascii="宋体" w:hAnsi="宋体"/>
                <w:sz w:val="22"/>
              </w:rPr>
            </w:pPr>
            <w:r>
              <w:rPr>
                <w:rFonts w:hint="eastAsia" w:ascii="宋体" w:hAnsi="宋体"/>
                <w:sz w:val="22"/>
              </w:rPr>
              <w:t>最小订货单元报价（元/盒等）</w:t>
            </w:r>
          </w:p>
        </w:tc>
        <w:tc>
          <w:tcPr>
            <w:tcW w:w="695" w:type="dxa"/>
            <w:vMerge w:val="restart"/>
            <w:vAlign w:val="center"/>
          </w:tcPr>
          <w:p>
            <w:pPr>
              <w:widowControl/>
              <w:jc w:val="center"/>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widowControl/>
              <w:jc w:val="center"/>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widowControl/>
              <w:jc w:val="center"/>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spacing w:line="360" w:lineRule="auto"/>
              <w:jc w:val="center"/>
              <w:rPr>
                <w:rFonts w:ascii="宋体" w:hAnsi="宋体"/>
                <w:sz w:val="22"/>
              </w:rPr>
            </w:pPr>
            <w:r>
              <w:rPr>
                <w:rFonts w:hint="eastAsia" w:ascii="宋体" w:hAnsi="宋体"/>
                <w:sz w:val="22"/>
              </w:rPr>
              <w:t>项目收费代码</w:t>
            </w:r>
          </w:p>
        </w:tc>
        <w:tc>
          <w:tcPr>
            <w:tcW w:w="508" w:type="dxa"/>
            <w:vMerge w:val="restart"/>
            <w:vAlign w:val="center"/>
          </w:tcPr>
          <w:p>
            <w:pPr>
              <w:spacing w:line="360" w:lineRule="auto"/>
              <w:rPr>
                <w:rFonts w:ascii="宋体" w:hAnsi="宋体"/>
                <w:sz w:val="22"/>
              </w:rPr>
            </w:pPr>
            <w:r>
              <w:rPr>
                <w:rFonts w:hint="eastAsia" w:ascii="宋体" w:hAnsi="宋体"/>
                <w:sz w:val="22"/>
              </w:rPr>
              <w:t>项目收费名称</w:t>
            </w:r>
          </w:p>
        </w:tc>
        <w:tc>
          <w:tcPr>
            <w:tcW w:w="659" w:type="dxa"/>
            <w:vMerge w:val="restart"/>
            <w:vAlign w:val="center"/>
          </w:tcPr>
          <w:p>
            <w:pPr>
              <w:spacing w:line="360" w:lineRule="auto"/>
              <w:jc w:val="center"/>
              <w:rPr>
                <w:rFonts w:ascii="宋体" w:hAnsi="宋体"/>
                <w:sz w:val="22"/>
              </w:rPr>
            </w:pPr>
            <w:r>
              <w:rPr>
                <w:rFonts w:hint="eastAsia" w:ascii="宋体" w:hAnsi="宋体"/>
                <w:sz w:val="22"/>
              </w:rPr>
              <w:t>项目收费价格（元/人份）</w:t>
            </w:r>
          </w:p>
        </w:tc>
        <w:tc>
          <w:tcPr>
            <w:tcW w:w="712" w:type="dxa"/>
            <w:vMerge w:val="restart"/>
            <w:vAlign w:val="center"/>
          </w:tcPr>
          <w:p>
            <w:pPr>
              <w:widowControl/>
              <w:jc w:val="center"/>
              <w:rPr>
                <w:rFonts w:ascii="宋体" w:hAnsi="宋体" w:cs="宋体"/>
                <w:b/>
                <w:bCs/>
                <w:color w:val="000000"/>
                <w:kern w:val="0"/>
                <w:sz w:val="22"/>
              </w:rPr>
            </w:pPr>
            <w:r>
              <w:rPr>
                <w:rFonts w:hint="eastAsia" w:ascii="宋体" w:hAnsi="宋体"/>
                <w:color w:val="000000"/>
                <w:sz w:val="22"/>
              </w:rPr>
              <w:t>扣率（折扣率=单人份价/项目收费价）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spacing w:line="360" w:lineRule="auto"/>
              <w:jc w:val="center"/>
              <w:rPr>
                <w:rFonts w:ascii="宋体" w:hAnsi="宋体"/>
                <w:color w:val="000000"/>
                <w:sz w:val="22"/>
              </w:rPr>
            </w:pPr>
          </w:p>
        </w:tc>
        <w:tc>
          <w:tcPr>
            <w:tcW w:w="471" w:type="dxa"/>
            <w:vMerge w:val="continue"/>
          </w:tcPr>
          <w:p>
            <w:pPr>
              <w:widowControl/>
              <w:jc w:val="center"/>
              <w:rPr>
                <w:rFonts w:ascii="宋体" w:hAnsi="宋体"/>
                <w:color w:val="000000"/>
                <w:sz w:val="22"/>
              </w:rPr>
            </w:pPr>
          </w:p>
        </w:tc>
        <w:tc>
          <w:tcPr>
            <w:tcW w:w="471" w:type="dxa"/>
            <w:vMerge w:val="continue"/>
          </w:tcPr>
          <w:p>
            <w:pPr>
              <w:widowControl/>
              <w:jc w:val="center"/>
              <w:rPr>
                <w:rFonts w:ascii="宋体" w:hAnsi="宋体"/>
                <w:color w:val="000000"/>
                <w:sz w:val="22"/>
              </w:rPr>
            </w:pPr>
          </w:p>
        </w:tc>
        <w:tc>
          <w:tcPr>
            <w:tcW w:w="471" w:type="dxa"/>
            <w:vMerge w:val="continue"/>
            <w:vAlign w:val="center"/>
          </w:tcPr>
          <w:p>
            <w:pPr>
              <w:widowControl/>
              <w:jc w:val="center"/>
              <w:rPr>
                <w:rFonts w:ascii="宋体" w:hAnsi="宋体"/>
                <w:color w:val="000000"/>
                <w:sz w:val="22"/>
              </w:rPr>
            </w:pPr>
          </w:p>
        </w:tc>
        <w:tc>
          <w:tcPr>
            <w:tcW w:w="436" w:type="dxa"/>
            <w:vAlign w:val="center"/>
          </w:tcPr>
          <w:p>
            <w:pPr>
              <w:widowControl/>
              <w:jc w:val="center"/>
              <w:rPr>
                <w:rFonts w:ascii="宋体" w:hAnsi="宋体"/>
                <w:color w:val="000000"/>
                <w:sz w:val="22"/>
              </w:rPr>
            </w:pPr>
            <w:r>
              <w:rPr>
                <w:rFonts w:hint="eastAsia" w:ascii="宋体" w:hAnsi="宋体"/>
                <w:color w:val="000000"/>
                <w:sz w:val="22"/>
              </w:rPr>
              <w:t>主试剂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辅助试剂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质控品</w:t>
            </w:r>
          </w:p>
        </w:tc>
        <w:tc>
          <w:tcPr>
            <w:tcW w:w="662" w:type="dxa"/>
            <w:vMerge w:val="continue"/>
            <w:vAlign w:val="center"/>
          </w:tcPr>
          <w:p>
            <w:pPr>
              <w:widowControl/>
              <w:jc w:val="center"/>
              <w:rPr>
                <w:rFonts w:ascii="宋体" w:hAnsi="宋体"/>
                <w:color w:val="000000"/>
                <w:sz w:val="22"/>
              </w:rPr>
            </w:pPr>
          </w:p>
        </w:tc>
        <w:tc>
          <w:tcPr>
            <w:tcW w:w="609" w:type="dxa"/>
            <w:vMerge w:val="continue"/>
            <w:vAlign w:val="center"/>
          </w:tcPr>
          <w:p>
            <w:pPr>
              <w:widowControl/>
              <w:jc w:val="center"/>
              <w:rPr>
                <w:rFonts w:ascii="宋体" w:hAnsi="宋体"/>
                <w:color w:val="000000"/>
                <w:sz w:val="22"/>
              </w:rPr>
            </w:pPr>
          </w:p>
        </w:tc>
        <w:tc>
          <w:tcPr>
            <w:tcW w:w="378" w:type="dxa"/>
            <w:vMerge w:val="continue"/>
            <w:vAlign w:val="center"/>
          </w:tcPr>
          <w:p>
            <w:pPr>
              <w:widowControl/>
              <w:jc w:val="center"/>
              <w:rPr>
                <w:rFonts w:ascii="宋体" w:hAnsi="宋体"/>
                <w:color w:val="000000"/>
                <w:sz w:val="22"/>
              </w:rPr>
            </w:pPr>
          </w:p>
        </w:tc>
        <w:tc>
          <w:tcPr>
            <w:tcW w:w="662" w:type="dxa"/>
            <w:vMerge w:val="continue"/>
            <w:vAlign w:val="center"/>
          </w:tcPr>
          <w:p>
            <w:pPr>
              <w:widowControl/>
              <w:jc w:val="center"/>
              <w:rPr>
                <w:rFonts w:ascii="宋体" w:hAnsi="宋体"/>
                <w:color w:val="000000"/>
                <w:sz w:val="22"/>
              </w:rPr>
            </w:pPr>
          </w:p>
        </w:tc>
        <w:tc>
          <w:tcPr>
            <w:tcW w:w="695" w:type="dxa"/>
            <w:vMerge w:val="continue"/>
            <w:vAlign w:val="center"/>
          </w:tcPr>
          <w:p>
            <w:pPr>
              <w:widowControl/>
              <w:jc w:val="center"/>
              <w:rPr>
                <w:rFonts w:ascii="宋体" w:hAnsi="宋体"/>
                <w:color w:val="000000"/>
                <w:sz w:val="22"/>
              </w:rPr>
            </w:pPr>
          </w:p>
        </w:tc>
        <w:tc>
          <w:tcPr>
            <w:tcW w:w="656" w:type="dxa"/>
            <w:vMerge w:val="continue"/>
            <w:vAlign w:val="center"/>
          </w:tcPr>
          <w:p>
            <w:pPr>
              <w:widowControl/>
              <w:jc w:val="center"/>
              <w:rPr>
                <w:rFonts w:ascii="宋体" w:hAnsi="宋体"/>
                <w:color w:val="000000"/>
                <w:sz w:val="22"/>
              </w:rPr>
            </w:pPr>
          </w:p>
        </w:tc>
        <w:tc>
          <w:tcPr>
            <w:tcW w:w="656" w:type="dxa"/>
            <w:vMerge w:val="continue"/>
            <w:vAlign w:val="center"/>
          </w:tcPr>
          <w:p>
            <w:pPr>
              <w:widowControl/>
              <w:jc w:val="center"/>
              <w:rPr>
                <w:rFonts w:ascii="宋体" w:hAnsi="宋体"/>
                <w:color w:val="000000"/>
                <w:sz w:val="22"/>
              </w:rPr>
            </w:pPr>
          </w:p>
        </w:tc>
        <w:tc>
          <w:tcPr>
            <w:tcW w:w="510" w:type="dxa"/>
            <w:vMerge w:val="continue"/>
            <w:vAlign w:val="center"/>
          </w:tcPr>
          <w:p>
            <w:pPr>
              <w:spacing w:line="360" w:lineRule="auto"/>
              <w:jc w:val="center"/>
              <w:rPr>
                <w:rFonts w:ascii="宋体" w:hAnsi="宋体"/>
                <w:color w:val="000000"/>
                <w:sz w:val="22"/>
              </w:rPr>
            </w:pPr>
          </w:p>
        </w:tc>
        <w:tc>
          <w:tcPr>
            <w:tcW w:w="508" w:type="dxa"/>
            <w:vMerge w:val="continue"/>
            <w:vAlign w:val="center"/>
          </w:tcPr>
          <w:p>
            <w:pPr>
              <w:spacing w:line="360" w:lineRule="auto"/>
              <w:rPr>
                <w:rFonts w:ascii="宋体" w:hAnsi="宋体"/>
                <w:color w:val="000000"/>
                <w:sz w:val="22"/>
              </w:rPr>
            </w:pPr>
          </w:p>
        </w:tc>
        <w:tc>
          <w:tcPr>
            <w:tcW w:w="659" w:type="dxa"/>
            <w:vMerge w:val="continue"/>
            <w:vAlign w:val="center"/>
          </w:tcPr>
          <w:p>
            <w:pPr>
              <w:spacing w:line="360" w:lineRule="auto"/>
              <w:jc w:val="center"/>
              <w:rPr>
                <w:rFonts w:ascii="宋体" w:hAnsi="宋体"/>
                <w:color w:val="000000"/>
                <w:sz w:val="22"/>
              </w:rPr>
            </w:pPr>
          </w:p>
        </w:tc>
        <w:tc>
          <w:tcPr>
            <w:tcW w:w="712" w:type="dxa"/>
            <w:vMerge w:val="continue"/>
            <w:vAlign w:val="center"/>
          </w:tcPr>
          <w:p>
            <w:pPr>
              <w:widowControl/>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1</w:t>
            </w:r>
          </w:p>
        </w:tc>
        <w:tc>
          <w:tcPr>
            <w:tcW w:w="471" w:type="dxa"/>
          </w:tcPr>
          <w:p>
            <w:pPr>
              <w:widowControl/>
              <w:jc w:val="center"/>
              <w:rPr>
                <w:rFonts w:ascii="宋体" w:hAnsi="宋体"/>
                <w:color w:val="000000"/>
                <w:sz w:val="22"/>
              </w:rPr>
            </w:pPr>
          </w:p>
        </w:tc>
        <w:tc>
          <w:tcPr>
            <w:tcW w:w="471" w:type="dxa"/>
          </w:tcPr>
          <w:p>
            <w:pPr>
              <w:widowControl/>
              <w:jc w:val="center"/>
              <w:rPr>
                <w:rFonts w:ascii="宋体" w:hAnsi="宋体"/>
                <w:color w:val="000000"/>
                <w:sz w:val="22"/>
              </w:rPr>
            </w:pPr>
          </w:p>
        </w:tc>
        <w:tc>
          <w:tcPr>
            <w:tcW w:w="471" w:type="dxa"/>
            <w:vAlign w:val="center"/>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09" w:type="dxa"/>
            <w:vAlign w:val="center"/>
          </w:tcPr>
          <w:p>
            <w:pPr>
              <w:widowControl/>
              <w:jc w:val="center"/>
              <w:rPr>
                <w:rFonts w:ascii="宋体" w:hAnsi="宋体"/>
                <w:color w:val="000000"/>
                <w:sz w:val="22"/>
              </w:rPr>
            </w:pPr>
          </w:p>
        </w:tc>
        <w:tc>
          <w:tcPr>
            <w:tcW w:w="378" w:type="dxa"/>
            <w:vAlign w:val="center"/>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95"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rPr>
                <w:rFonts w:ascii="宋体" w:hAnsi="宋体"/>
                <w:color w:val="000000"/>
                <w:sz w:val="22"/>
              </w:rPr>
            </w:pPr>
          </w:p>
        </w:tc>
        <w:tc>
          <w:tcPr>
            <w:tcW w:w="659" w:type="dxa"/>
            <w:vAlign w:val="center"/>
          </w:tcPr>
          <w:p>
            <w:pPr>
              <w:spacing w:line="360" w:lineRule="auto"/>
              <w:jc w:val="center"/>
              <w:rPr>
                <w:rFonts w:ascii="宋体" w:hAnsi="宋体"/>
                <w:color w:val="000000"/>
                <w:sz w:val="22"/>
              </w:rPr>
            </w:pPr>
          </w:p>
        </w:tc>
        <w:tc>
          <w:tcPr>
            <w:tcW w:w="712" w:type="dxa"/>
            <w:vAlign w:val="center"/>
          </w:tcPr>
          <w:p>
            <w:pPr>
              <w:widowControl/>
              <w:jc w:val="center"/>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2</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widowControl/>
              <w:jc w:val="center"/>
              <w:rPr>
                <w:rFonts w:ascii="宋体" w:hAnsi="宋体" w:cs="宋体"/>
                <w:b/>
                <w:bCs/>
                <w:color w:val="000000"/>
                <w:kern w:val="0"/>
                <w:sz w:val="22"/>
              </w:rPr>
            </w:pPr>
          </w:p>
        </w:tc>
        <w:tc>
          <w:tcPr>
            <w:tcW w:w="508" w:type="dxa"/>
            <w:vAlign w:val="center"/>
          </w:tcPr>
          <w:p>
            <w:pPr>
              <w:widowControl/>
              <w:jc w:val="center"/>
              <w:rPr>
                <w:rFonts w:ascii="宋体" w:hAnsi="宋体" w:cs="宋体"/>
                <w:b/>
                <w:bCs/>
                <w:color w:val="000000"/>
                <w:kern w:val="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ascii="宋体" w:hAnsi="宋体"/>
                <w:color w:val="000000"/>
                <w:sz w:val="22"/>
              </w:rPr>
              <w:t>…</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jc w:val="center"/>
              <w:rPr>
                <w:rFonts w:ascii="宋体" w:hAnsi="宋体"/>
                <w:color w:val="00000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bl>
    <w:p>
      <w:pPr>
        <w:widowControl/>
        <w:wordWrap w:val="0"/>
        <w:spacing w:line="193" w:lineRule="atLeast"/>
        <w:rPr>
          <w:rFonts w:ascii="宋体" w:hAnsi="宋体" w:eastAsia="宋体" w:cs="宋体"/>
          <w:kern w:val="0"/>
          <w:szCs w:val="21"/>
        </w:rPr>
      </w:pPr>
    </w:p>
    <w:p>
      <w:pPr>
        <w:spacing w:line="300" w:lineRule="auto"/>
        <w:rPr>
          <w:rFonts w:asciiTheme="minorEastAsia" w:hAnsiTheme="minorEastAsia"/>
          <w:sz w:val="24"/>
          <w:szCs w:val="24"/>
        </w:rPr>
      </w:pPr>
      <w:r>
        <w:rPr>
          <w:rFonts w:hint="eastAsia" w:asciiTheme="minorEastAsia" w:hAnsiTheme="minorEastAsia"/>
          <w:sz w:val="24"/>
          <w:szCs w:val="24"/>
        </w:rPr>
        <w:t>四、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pPr>
        <w:spacing w:line="300" w:lineRule="auto"/>
        <w:rPr>
          <w:rFonts w:asciiTheme="minorEastAsia" w:hAnsiTheme="minorEastAsia"/>
          <w:sz w:val="24"/>
          <w:szCs w:val="24"/>
        </w:rPr>
      </w:pPr>
      <w:r>
        <w:rPr>
          <w:rFonts w:hint="eastAsia" w:asciiTheme="minorEastAsia" w:hAnsiTheme="minorEastAsia"/>
          <w:sz w:val="24"/>
          <w:szCs w:val="24"/>
        </w:rPr>
        <w:t>五、资料准备：公司（企业）营业执照、生产（经营）许可证、厂商授权书、法人代表授权书、医疗器械产品注册证、上海市收费信息、报价单、产品质量保证书，提供”信用中国”查询结果截图及其他一切有效证书的复印件，加盖公司公章。所有资料必须以档案袋密封,密封处加盖公司骑缝公章,且非格式报价单、开口报价单均无效,不符合以上要求的资料一律作为无效资料处理,不具备遴选资格。</w:t>
      </w:r>
    </w:p>
    <w:p>
      <w:pPr>
        <w:spacing w:line="300" w:lineRule="auto"/>
        <w:rPr>
          <w:rFonts w:asciiTheme="minorEastAsia" w:hAnsiTheme="minorEastAsia"/>
          <w:sz w:val="24"/>
          <w:szCs w:val="24"/>
        </w:rPr>
      </w:pPr>
      <w:r>
        <w:rPr>
          <w:rFonts w:hint="eastAsia" w:asciiTheme="minorEastAsia" w:hAnsiTheme="minorEastAsia"/>
          <w:sz w:val="24"/>
          <w:szCs w:val="24"/>
        </w:rPr>
        <w:t>六、供应期限：遴选最终确定的产品，供应产品质量及服务达到要求的，供应期限为36个月。</w:t>
      </w:r>
    </w:p>
    <w:p>
      <w:pPr>
        <w:spacing w:line="300" w:lineRule="auto"/>
        <w:rPr>
          <w:rFonts w:asciiTheme="minorEastAsia" w:hAnsiTheme="minorEastAsia"/>
          <w:sz w:val="24"/>
          <w:szCs w:val="24"/>
        </w:rPr>
      </w:pPr>
      <w:r>
        <w:rPr>
          <w:rFonts w:hint="eastAsia" w:asciiTheme="minorEastAsia" w:hAnsiTheme="minorEastAsia"/>
          <w:sz w:val="24"/>
          <w:szCs w:val="24"/>
        </w:rPr>
        <w:t>七、付款周期：对账日期后3个月。</w:t>
      </w:r>
    </w:p>
    <w:p>
      <w:pPr>
        <w:spacing w:line="300" w:lineRule="auto"/>
        <w:rPr>
          <w:rFonts w:asciiTheme="minorEastAsia" w:hAnsiTheme="minorEastAsia"/>
          <w:sz w:val="24"/>
          <w:szCs w:val="24"/>
        </w:rPr>
      </w:pPr>
      <w:r>
        <w:rPr>
          <w:rFonts w:hint="eastAsia" w:asciiTheme="minorEastAsia" w:hAnsiTheme="minorEastAsia"/>
          <w:sz w:val="24"/>
          <w:szCs w:val="24"/>
        </w:rPr>
        <w:t>八、特别备注：由于遴选试剂不能单独完成应用或检测要求的，或与甲方现有设备不相兼容的，经双方协商，乙方需提供完成检查检测的相关设备及附件。</w:t>
      </w:r>
    </w:p>
    <w:p>
      <w:pPr>
        <w:widowControl/>
        <w:wordWrap w:val="0"/>
        <w:spacing w:line="193" w:lineRule="atLeast"/>
        <w:rPr>
          <w:rFonts w:ascii="Calibri" w:hAnsi="Calibri" w:eastAsia="微软雅黑" w:cs="宋体"/>
          <w:kern w:val="0"/>
          <w:szCs w:val="21"/>
        </w:rPr>
      </w:pPr>
      <w:r>
        <w:rPr>
          <w:rFonts w:ascii="Calibri" w:hAnsi="Calibri" w:eastAsia="微软雅黑" w:cs="宋体"/>
          <w:kern w:val="0"/>
          <w:szCs w:val="21"/>
        </w:rPr>
        <w:t> </w:t>
      </w:r>
    </w:p>
    <w:p>
      <w:pPr>
        <w:widowControl/>
        <w:wordWrap w:val="0"/>
        <w:spacing w:line="193" w:lineRule="atLeast"/>
        <w:ind w:firstLine="482"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开标日期及地点</w:t>
      </w:r>
    </w:p>
    <w:p>
      <w:pPr>
        <w:widowControl/>
        <w:wordWrap w:val="0"/>
        <w:spacing w:line="440" w:lineRule="exact"/>
        <w:ind w:firstLine="480" w:firstLineChars="200"/>
        <w:rPr>
          <w:rFonts w:ascii="宋体" w:hAnsi="宋体" w:eastAsia="宋体" w:cs="宋体"/>
          <w:b/>
          <w:bCs/>
          <w:color w:val="000000"/>
          <w:kern w:val="0"/>
          <w:sz w:val="24"/>
          <w:szCs w:val="24"/>
        </w:rPr>
      </w:pPr>
      <w:r>
        <w:rPr>
          <w:rFonts w:hint="eastAsia" w:ascii="宋体" w:hAnsi="宋体" w:eastAsia="宋体" w:cs="宋体"/>
          <w:color w:val="333333"/>
          <w:sz w:val="24"/>
          <w:szCs w:val="24"/>
          <w:shd w:val="clear" w:color="auto" w:fill="FFFFFF"/>
        </w:rPr>
        <w:t>根据疫情防控形势变化和医院疫情防控要求，取消近期遴选项目的现场开标，欲参与投标公司请在网上报名</w:t>
      </w:r>
      <w:r>
        <w:rPr>
          <w:rFonts w:hint="eastAsia"/>
          <w:color w:val="FF0000"/>
          <w:sz w:val="24"/>
          <w:szCs w:val="24"/>
          <w:u w:val="single"/>
        </w:rPr>
        <w:t>https://www.wjx.cn/vm/PLiAxrD.aspx</w:t>
      </w:r>
      <w:r>
        <w:rPr>
          <w:rFonts w:hint="eastAsia" w:ascii="宋体" w:hAnsi="宋体" w:eastAsia="宋体" w:cs="宋体"/>
          <w:color w:val="333333"/>
          <w:sz w:val="24"/>
          <w:szCs w:val="24"/>
          <w:shd w:val="clear" w:color="auto" w:fill="FFFFFF"/>
        </w:rPr>
        <w:t>，并以快递形式进行投标，邮寄地址：上海市普陀区泸定路355号上海市儿童医院，联系人：郑老师 17317523703，截止时间：</w:t>
      </w:r>
      <w:r>
        <w:rPr>
          <w:rFonts w:hint="eastAsia" w:ascii="宋体" w:hAnsi="宋体" w:eastAsia="宋体" w:cs="宋体"/>
          <w:i w:val="0"/>
          <w:iCs w:val="0"/>
          <w:caps w:val="0"/>
          <w:color w:val="333333"/>
          <w:spacing w:val="0"/>
          <w:sz w:val="24"/>
          <w:szCs w:val="24"/>
          <w:u w:val="none"/>
          <w:shd w:val="clear" w:fill="FFFFFF"/>
          <w:lang w:eastAsia="zh-CN"/>
        </w:rPr>
        <w:t>2022</w:t>
      </w:r>
      <w:r>
        <w:rPr>
          <w:rFonts w:hint="eastAsia" w:ascii="宋体" w:hAnsi="宋体" w:eastAsia="宋体" w:cs="宋体"/>
          <w:i w:val="0"/>
          <w:iCs w:val="0"/>
          <w:caps w:val="0"/>
          <w:color w:val="333333"/>
          <w:spacing w:val="0"/>
          <w:sz w:val="24"/>
          <w:szCs w:val="24"/>
          <w:u w:val="none"/>
          <w:shd w:val="clear" w:fill="FFFFFF"/>
        </w:rPr>
        <w:t>年</w:t>
      </w:r>
      <w:r>
        <w:rPr>
          <w:rFonts w:hint="eastAsia" w:ascii="宋体" w:hAnsi="宋体" w:eastAsia="宋体" w:cs="宋体"/>
          <w:i w:val="0"/>
          <w:iCs w:val="0"/>
          <w:caps w:val="0"/>
          <w:color w:val="333333"/>
          <w:spacing w:val="0"/>
          <w:sz w:val="24"/>
          <w:szCs w:val="24"/>
          <w:u w:val="none"/>
          <w:shd w:val="clear" w:fill="FFFFFF"/>
          <w:lang w:val="en-US" w:eastAsia="zh-CN"/>
        </w:rPr>
        <w:t>06</w:t>
      </w:r>
      <w:r>
        <w:rPr>
          <w:rFonts w:hint="eastAsia" w:ascii="宋体" w:hAnsi="宋体" w:eastAsia="宋体" w:cs="宋体"/>
          <w:i w:val="0"/>
          <w:iCs w:val="0"/>
          <w:caps w:val="0"/>
          <w:color w:val="333333"/>
          <w:spacing w:val="0"/>
          <w:sz w:val="24"/>
          <w:szCs w:val="24"/>
          <w:u w:val="none"/>
          <w:shd w:val="clear" w:fill="FFFFFF"/>
        </w:rPr>
        <w:t>月</w:t>
      </w:r>
      <w:r>
        <w:rPr>
          <w:rFonts w:hint="eastAsia" w:ascii="宋体" w:hAnsi="宋体" w:eastAsia="宋体" w:cs="宋体"/>
          <w:i w:val="0"/>
          <w:iCs w:val="0"/>
          <w:caps w:val="0"/>
          <w:color w:val="333333"/>
          <w:spacing w:val="0"/>
          <w:sz w:val="24"/>
          <w:szCs w:val="24"/>
          <w:u w:val="none"/>
          <w:shd w:val="clear" w:fill="FFFFFF"/>
          <w:lang w:val="en-US" w:eastAsia="zh-CN"/>
        </w:rPr>
        <w:t>28</w:t>
      </w:r>
      <w:r>
        <w:rPr>
          <w:rFonts w:hint="eastAsia" w:ascii="宋体" w:hAnsi="宋体" w:eastAsia="宋体" w:cs="宋体"/>
          <w:i w:val="0"/>
          <w:iCs w:val="0"/>
          <w:caps w:val="0"/>
          <w:color w:val="333333"/>
          <w:spacing w:val="0"/>
          <w:sz w:val="24"/>
          <w:szCs w:val="24"/>
          <w:u w:val="none"/>
          <w:shd w:val="clear" w:fill="FFFFFF"/>
        </w:rPr>
        <w:t>日</w:t>
      </w:r>
      <w:r>
        <w:rPr>
          <w:rFonts w:hint="eastAsia" w:ascii="宋体" w:hAnsi="宋体" w:eastAsia="宋体" w:cs="宋体"/>
          <w:i w:val="0"/>
          <w:iCs w:val="0"/>
          <w:caps w:val="0"/>
          <w:color w:val="333333"/>
          <w:spacing w:val="0"/>
          <w:sz w:val="24"/>
          <w:szCs w:val="24"/>
          <w:u w:val="none"/>
          <w:shd w:val="clear" w:fill="FFFFFF"/>
          <w:lang w:val="en-US" w:eastAsia="zh-CN"/>
        </w:rPr>
        <w:t>12</w:t>
      </w:r>
      <w:r>
        <w:rPr>
          <w:rFonts w:hint="eastAsia" w:ascii="宋体" w:hAnsi="宋体" w:eastAsia="宋体" w:cs="宋体"/>
          <w:i w:val="0"/>
          <w:iCs w:val="0"/>
          <w:caps w:val="0"/>
          <w:color w:val="333333"/>
          <w:spacing w:val="0"/>
          <w:sz w:val="24"/>
          <w:szCs w:val="24"/>
          <w:u w:val="none"/>
          <w:shd w:val="clear" w:fill="FFFFFF"/>
        </w:rPr>
        <w:t>:</w:t>
      </w:r>
      <w:r>
        <w:rPr>
          <w:rFonts w:hint="eastAsia" w:ascii="宋体" w:hAnsi="宋体" w:eastAsia="宋体" w:cs="宋体"/>
          <w:i w:val="0"/>
          <w:iCs w:val="0"/>
          <w:caps w:val="0"/>
          <w:color w:val="333333"/>
          <w:spacing w:val="0"/>
          <w:sz w:val="24"/>
          <w:szCs w:val="24"/>
          <w:u w:val="none"/>
          <w:shd w:val="clear" w:fill="FFFFFF"/>
          <w:lang w:val="en-US" w:eastAsia="zh-CN"/>
        </w:rPr>
        <w:t>00</w:t>
      </w:r>
      <w:bookmarkStart w:id="0" w:name="_GoBack"/>
      <w:bookmarkEnd w:id="0"/>
    </w:p>
    <w:p>
      <w:pPr>
        <w:widowControl/>
        <w:wordWrap w:val="0"/>
        <w:spacing w:line="440" w:lineRule="exact"/>
        <w:rPr>
          <w:color w:val="FF0000"/>
          <w:sz w:val="24"/>
          <w:szCs w:val="24"/>
        </w:rPr>
      </w:pPr>
      <w:r>
        <w:rPr>
          <w:rFonts w:hint="eastAsia"/>
          <w:color w:val="FF0000"/>
          <w:sz w:val="24"/>
          <w:szCs w:val="24"/>
        </w:rPr>
        <w:t xml:space="preserve">    ★注意事项：</w:t>
      </w:r>
    </w:p>
    <w:p>
      <w:pPr>
        <w:widowControl/>
        <w:wordWrap w:val="0"/>
        <w:spacing w:line="440" w:lineRule="exact"/>
        <w:ind w:firstLine="240" w:firstLineChars="100"/>
        <w:rPr>
          <w:color w:val="FF0000"/>
          <w:sz w:val="24"/>
          <w:szCs w:val="24"/>
        </w:rPr>
      </w:pPr>
      <w:r>
        <w:rPr>
          <w:rFonts w:hint="eastAsia"/>
          <w:color w:val="FF0000"/>
          <w:sz w:val="24"/>
          <w:szCs w:val="24"/>
        </w:rPr>
        <w:t xml:space="preserve">（1）投标方代表严格遵守快递投标时间，遴选文件必须排版胶装并以档案袋密封,密封处加盖公司骑缝公章,非格式报价单、开口报价单均无效,不符合以上要求均视为无效投标,不具备遴选资格。 </w:t>
      </w:r>
    </w:p>
    <w:p>
      <w:pPr>
        <w:widowControl/>
        <w:wordWrap w:val="0"/>
        <w:spacing w:line="440" w:lineRule="exact"/>
        <w:ind w:firstLine="240" w:firstLineChars="100"/>
        <w:rPr>
          <w:color w:val="FF0000"/>
          <w:sz w:val="24"/>
          <w:szCs w:val="24"/>
        </w:rPr>
      </w:pPr>
      <w:r>
        <w:rPr>
          <w:rFonts w:hint="eastAsia"/>
          <w:color w:val="FF0000"/>
          <w:sz w:val="24"/>
          <w:szCs w:val="24"/>
        </w:rPr>
        <w:t>（2）遴选响应文件的份数：纸质正本1份，电子版1份（1.全套投标文件正本（加盖公章） ：PDF格式扫描件；2. 遴选采购报价表、技术偏离表：excel版本，电子版请</w:t>
      </w:r>
      <w:r>
        <w:rPr>
          <w:rFonts w:hint="eastAsia" w:ascii="宋体" w:hAnsi="宋体" w:eastAsia="宋体" w:cs="宋体"/>
          <w:color w:val="FF0000"/>
          <w:sz w:val="24"/>
          <w:szCs w:val="24"/>
          <w:shd w:val="clear" w:color="auto" w:fill="FFFFFF"/>
        </w:rPr>
        <w:t>按照“遴选编号-包件号-项目名称-公司名称投标文件”命名，</w:t>
      </w:r>
      <w:r>
        <w:rPr>
          <w:rFonts w:hint="eastAsia"/>
          <w:color w:val="FF0000"/>
          <w:sz w:val="24"/>
          <w:szCs w:val="24"/>
        </w:rPr>
        <w:t>于投标截止时间次日发送至邮箱</w:t>
      </w:r>
      <w:r>
        <w:fldChar w:fldCharType="begin"/>
      </w:r>
      <w:r>
        <w:instrText xml:space="preserve"> HYPERLINK "mailto:xuml@shchildren.com.cn" </w:instrText>
      </w:r>
      <w:r>
        <w:fldChar w:fldCharType="separate"/>
      </w:r>
      <w:r>
        <w:rPr>
          <w:rFonts w:hint="eastAsia"/>
          <w:color w:val="FF0000"/>
          <w:sz w:val="24"/>
          <w:szCs w:val="24"/>
        </w:rPr>
        <w:t>zhenglin@shchildren.com.cn</w:t>
      </w:r>
      <w:r>
        <w:rPr>
          <w:rFonts w:hint="eastAsia"/>
          <w:color w:val="FF0000"/>
          <w:sz w:val="24"/>
          <w:szCs w:val="24"/>
        </w:rPr>
        <w:fldChar w:fldCharType="end"/>
      </w:r>
      <w:r>
        <w:rPr>
          <w:rFonts w:hint="eastAsia"/>
          <w:color w:val="FF0000"/>
          <w:sz w:val="24"/>
          <w:szCs w:val="24"/>
        </w:rPr>
        <w:t>）。</w:t>
      </w:r>
    </w:p>
    <w:p>
      <w:pPr>
        <w:widowControl/>
        <w:wordWrap w:val="0"/>
        <w:spacing w:line="193" w:lineRule="atLeast"/>
        <w:rPr>
          <w:color w:val="FF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276A6"/>
    <w:multiLevelType w:val="singleLevel"/>
    <w:tmpl w:val="E69276A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F28AB"/>
    <w:rsid w:val="0071743D"/>
    <w:rsid w:val="0074080D"/>
    <w:rsid w:val="00751C43"/>
    <w:rsid w:val="00754398"/>
    <w:rsid w:val="007631FF"/>
    <w:rsid w:val="007967C2"/>
    <w:rsid w:val="00801135"/>
    <w:rsid w:val="00842BD0"/>
    <w:rsid w:val="00870F03"/>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23820D4"/>
    <w:rsid w:val="052E38E1"/>
    <w:rsid w:val="06456F2F"/>
    <w:rsid w:val="06AE7D15"/>
    <w:rsid w:val="06E077D2"/>
    <w:rsid w:val="0716207E"/>
    <w:rsid w:val="075F4276"/>
    <w:rsid w:val="07C30482"/>
    <w:rsid w:val="093D185A"/>
    <w:rsid w:val="09B8083D"/>
    <w:rsid w:val="0B3D54C6"/>
    <w:rsid w:val="0BD151AB"/>
    <w:rsid w:val="0D5170BE"/>
    <w:rsid w:val="0E532263"/>
    <w:rsid w:val="10C91DD2"/>
    <w:rsid w:val="10FA49AA"/>
    <w:rsid w:val="11114207"/>
    <w:rsid w:val="11711B25"/>
    <w:rsid w:val="129206FB"/>
    <w:rsid w:val="166D01D8"/>
    <w:rsid w:val="16C30F0C"/>
    <w:rsid w:val="17365260"/>
    <w:rsid w:val="1790318F"/>
    <w:rsid w:val="18717308"/>
    <w:rsid w:val="18B34AB1"/>
    <w:rsid w:val="1926004F"/>
    <w:rsid w:val="1A5C4D89"/>
    <w:rsid w:val="1A8E11FB"/>
    <w:rsid w:val="1AAD44D4"/>
    <w:rsid w:val="1B8D049E"/>
    <w:rsid w:val="1BD210C1"/>
    <w:rsid w:val="1BE71836"/>
    <w:rsid w:val="1C085564"/>
    <w:rsid w:val="1CE23E5A"/>
    <w:rsid w:val="1DBF4DF8"/>
    <w:rsid w:val="1FE07BE7"/>
    <w:rsid w:val="202E30FB"/>
    <w:rsid w:val="20BD5BD5"/>
    <w:rsid w:val="214C5AEE"/>
    <w:rsid w:val="235D481E"/>
    <w:rsid w:val="23B63AF4"/>
    <w:rsid w:val="23E834D5"/>
    <w:rsid w:val="2A0A052A"/>
    <w:rsid w:val="2B08526E"/>
    <w:rsid w:val="2C0606D5"/>
    <w:rsid w:val="2C862048"/>
    <w:rsid w:val="2D480748"/>
    <w:rsid w:val="2E4E2C28"/>
    <w:rsid w:val="2EC155DB"/>
    <w:rsid w:val="30806547"/>
    <w:rsid w:val="323A48DC"/>
    <w:rsid w:val="32E1056F"/>
    <w:rsid w:val="3301085B"/>
    <w:rsid w:val="34E42337"/>
    <w:rsid w:val="34EF0B8D"/>
    <w:rsid w:val="35D5013C"/>
    <w:rsid w:val="35E72D81"/>
    <w:rsid w:val="36ED1E34"/>
    <w:rsid w:val="3A3662F3"/>
    <w:rsid w:val="3A9F3E75"/>
    <w:rsid w:val="3AC3027E"/>
    <w:rsid w:val="3B595FFE"/>
    <w:rsid w:val="3BD5458B"/>
    <w:rsid w:val="3CBB5598"/>
    <w:rsid w:val="3D7831DE"/>
    <w:rsid w:val="3DA71EFB"/>
    <w:rsid w:val="3E4B04D0"/>
    <w:rsid w:val="3EEE4FED"/>
    <w:rsid w:val="3FE35A0C"/>
    <w:rsid w:val="40214546"/>
    <w:rsid w:val="411F46A5"/>
    <w:rsid w:val="413B181B"/>
    <w:rsid w:val="41E51367"/>
    <w:rsid w:val="42EA1B55"/>
    <w:rsid w:val="43BF292A"/>
    <w:rsid w:val="44CF3F6B"/>
    <w:rsid w:val="4551058A"/>
    <w:rsid w:val="46E77B6B"/>
    <w:rsid w:val="4747106E"/>
    <w:rsid w:val="483A1969"/>
    <w:rsid w:val="4BC24A77"/>
    <w:rsid w:val="4C1B3BB0"/>
    <w:rsid w:val="4DFA7795"/>
    <w:rsid w:val="4EC053BC"/>
    <w:rsid w:val="50BF3F80"/>
    <w:rsid w:val="51D65A91"/>
    <w:rsid w:val="53FD3ABD"/>
    <w:rsid w:val="54BD7E54"/>
    <w:rsid w:val="554E62C0"/>
    <w:rsid w:val="55EB7211"/>
    <w:rsid w:val="571B542D"/>
    <w:rsid w:val="576E7689"/>
    <w:rsid w:val="5C3D1857"/>
    <w:rsid w:val="5D126255"/>
    <w:rsid w:val="5DE078E6"/>
    <w:rsid w:val="603C1320"/>
    <w:rsid w:val="61191A11"/>
    <w:rsid w:val="633A46C6"/>
    <w:rsid w:val="64FE099A"/>
    <w:rsid w:val="65752D20"/>
    <w:rsid w:val="668E26A7"/>
    <w:rsid w:val="67CF1147"/>
    <w:rsid w:val="6800057A"/>
    <w:rsid w:val="6E487369"/>
    <w:rsid w:val="6E7F33F8"/>
    <w:rsid w:val="6F2B4343"/>
    <w:rsid w:val="70214F89"/>
    <w:rsid w:val="705A4DB9"/>
    <w:rsid w:val="70B31796"/>
    <w:rsid w:val="714323EA"/>
    <w:rsid w:val="7349268D"/>
    <w:rsid w:val="73904617"/>
    <w:rsid w:val="73966EBB"/>
    <w:rsid w:val="745A720C"/>
    <w:rsid w:val="75F4167C"/>
    <w:rsid w:val="784333A1"/>
    <w:rsid w:val="7A044863"/>
    <w:rsid w:val="7AF36E33"/>
    <w:rsid w:val="7BB948D7"/>
    <w:rsid w:val="7BD50615"/>
    <w:rsid w:val="7D753796"/>
    <w:rsid w:val="7ECF7E29"/>
    <w:rsid w:val="7EEC02C7"/>
    <w:rsid w:val="7F282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semiHidden/>
    <w:qFormat/>
    <w:uiPriority w:val="0"/>
    <w:pPr>
      <w:jc w:val="left"/>
    </w:pPr>
    <w:rPr>
      <w:rFonts w:ascii="Times New Roman" w:hAnsi="Times New Roman" w:eastAsia="宋体" w:cs="Times New Roman"/>
      <w:szCs w:val="24"/>
    </w:rPr>
  </w:style>
  <w:style w:type="paragraph" w:styleId="4">
    <w:name w:val="Body Text"/>
    <w:basedOn w:val="1"/>
    <w:qFormat/>
    <w:uiPriority w:val="1"/>
    <w:rPr>
      <w:szCs w:val="21"/>
    </w:r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FollowedHyperlink"/>
    <w:basedOn w:val="10"/>
    <w:semiHidden/>
    <w:unhideWhenUsed/>
    <w:qFormat/>
    <w:uiPriority w:val="99"/>
    <w:rPr>
      <w:color w:val="800080"/>
      <w:u w:val="single"/>
    </w:rPr>
  </w:style>
  <w:style w:type="character" w:styleId="13">
    <w:name w:val="Emphasis"/>
    <w:basedOn w:val="10"/>
    <w:qFormat/>
    <w:uiPriority w:val="20"/>
    <w:rPr>
      <w:i/>
      <w:iCs/>
    </w:rPr>
  </w:style>
  <w:style w:type="character" w:styleId="14">
    <w:name w:val="Hyperlink"/>
    <w:basedOn w:val="10"/>
    <w:unhideWhenUsed/>
    <w:qFormat/>
    <w:uiPriority w:val="99"/>
    <w:rPr>
      <w:color w:val="0000FF"/>
      <w:u w:val="single"/>
    </w:rPr>
  </w:style>
  <w:style w:type="character" w:styleId="15">
    <w:name w:val="annotation reference"/>
    <w:semiHidden/>
    <w:qFormat/>
    <w:uiPriority w:val="0"/>
    <w:rPr>
      <w:sz w:val="21"/>
      <w:szCs w:val="21"/>
    </w:r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 w:type="character" w:customStyle="1" w:styleId="18">
    <w:name w:val="标题 1 字符"/>
    <w:basedOn w:val="10"/>
    <w:link w:val="2"/>
    <w:qFormat/>
    <w:uiPriority w:val="9"/>
    <w:rPr>
      <w:rFonts w:ascii="宋体" w:hAnsi="宋体" w:eastAsia="宋体" w:cs="宋体"/>
      <w:b/>
      <w:bCs/>
      <w:kern w:val="36"/>
      <w:sz w:val="48"/>
      <w:szCs w:val="48"/>
    </w:rPr>
  </w:style>
  <w:style w:type="character" w:customStyle="1" w:styleId="19">
    <w:name w:val="meta-date"/>
    <w:basedOn w:val="10"/>
    <w:qFormat/>
    <w:uiPriority w:val="0"/>
  </w:style>
  <w:style w:type="character" w:customStyle="1" w:styleId="20">
    <w:name w:val="meta-aname"/>
    <w:basedOn w:val="10"/>
    <w:qFormat/>
    <w:uiPriority w:val="0"/>
  </w:style>
  <w:style w:type="character" w:customStyle="1" w:styleId="21">
    <w:name w:val="批注文字 字符"/>
    <w:basedOn w:val="10"/>
    <w:link w:val="3"/>
    <w:semiHidden/>
    <w:qFormat/>
    <w:uiPriority w:val="0"/>
    <w:rPr>
      <w:rFonts w:ascii="Times New Roman" w:hAnsi="Times New Roman" w:eastAsia="宋体" w:cs="Times New Roman"/>
      <w:kern w:val="2"/>
      <w:sz w:val="21"/>
      <w:szCs w:val="24"/>
    </w:rPr>
  </w:style>
  <w:style w:type="character" w:customStyle="1" w:styleId="22">
    <w:name w:val="批注框文本 字符"/>
    <w:basedOn w:val="10"/>
    <w:link w:val="5"/>
    <w:semiHidden/>
    <w:qFormat/>
    <w:uiPriority w:val="99"/>
    <w:rPr>
      <w:kern w:val="2"/>
      <w:sz w:val="18"/>
      <w:szCs w:val="18"/>
    </w:rPr>
  </w:style>
  <w:style w:type="paragraph" w:customStyle="1" w:styleId="23">
    <w:name w:val="ifb-1"/>
    <w:basedOn w:val="1"/>
    <w:qFormat/>
    <w:uiPriority w:val="0"/>
    <w:pPr>
      <w:ind w:left="420" w:hanging="420"/>
    </w:pPr>
    <w:rPr>
      <w:rFonts w:ascii="楷体_GB2312" w:eastAsia="楷体_GB2312"/>
      <w:szCs w:val="20"/>
    </w:rPr>
  </w:style>
  <w:style w:type="paragraph" w:customStyle="1" w:styleId="24">
    <w:name w:val="Table Paragraph"/>
    <w:basedOn w:val="1"/>
    <w:qFormat/>
    <w:uiPriority w:val="1"/>
  </w:style>
  <w:style w:type="table" w:customStyle="1" w:styleId="2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611</Words>
  <Characters>3489</Characters>
  <Lines>29</Lines>
  <Paragraphs>8</Paragraphs>
  <TotalTime>0</TotalTime>
  <ScaleCrop>false</ScaleCrop>
  <LinksUpToDate>false</LinksUpToDate>
  <CharactersWithSpaces>4092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user</cp:lastModifiedBy>
  <dcterms:modified xsi:type="dcterms:W3CDTF">2022-06-17T08:37:25Z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5A7582F762F543B980A55E2793244CCE</vt:lpwstr>
  </property>
</Properties>
</file>