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华文仿宋" w:hAnsi="华文仿宋" w:eastAsia="华文仿宋"/>
          <w:sz w:val="60"/>
          <w:szCs w:val="60"/>
        </w:rPr>
      </w:pPr>
    </w:p>
    <w:p>
      <w:pPr>
        <w:pStyle w:val="9"/>
        <w:rPr>
          <w:rFonts w:ascii="宋体" w:hAnsi="宋体" w:eastAsia="宋体" w:cs="宋体"/>
          <w:sz w:val="60"/>
          <w:szCs w:val="60"/>
        </w:rPr>
      </w:pPr>
      <w:r>
        <w:rPr>
          <w:rFonts w:hint="eastAsia" w:ascii="宋体" w:hAnsi="宋体" w:eastAsia="宋体" w:cs="宋体"/>
          <w:sz w:val="60"/>
          <w:szCs w:val="60"/>
        </w:rPr>
        <w:t>上海市儿童医院</w:t>
      </w:r>
    </w:p>
    <w:p>
      <w:pPr>
        <w:pStyle w:val="9"/>
        <w:tabs>
          <w:tab w:val="center" w:pos="4479"/>
          <w:tab w:val="right" w:pos="8958"/>
        </w:tabs>
        <w:rPr>
          <w:rFonts w:ascii="宋体" w:hAnsi="宋体" w:eastAsia="宋体" w:cs="宋体"/>
          <w:sz w:val="40"/>
          <w:szCs w:val="40"/>
        </w:rPr>
      </w:pPr>
    </w:p>
    <w:p>
      <w:pPr>
        <w:pStyle w:val="9"/>
        <w:tabs>
          <w:tab w:val="center" w:pos="4479"/>
          <w:tab w:val="right" w:pos="8958"/>
        </w:tabs>
        <w:rPr>
          <w:rFonts w:ascii="宋体" w:hAnsi="宋体" w:eastAsia="宋体" w:cs="宋体"/>
          <w:sz w:val="40"/>
          <w:szCs w:val="40"/>
        </w:rPr>
      </w:pPr>
    </w:p>
    <w:p>
      <w:pPr>
        <w:pStyle w:val="9"/>
        <w:tabs>
          <w:tab w:val="center" w:pos="4479"/>
          <w:tab w:val="right" w:pos="8958"/>
        </w:tabs>
        <w:rPr>
          <w:rFonts w:ascii="宋体" w:hAnsi="宋体" w:eastAsia="宋体" w:cs="宋体"/>
          <w:sz w:val="40"/>
          <w:szCs w:val="40"/>
        </w:rPr>
      </w:pPr>
    </w:p>
    <w:p>
      <w:pPr>
        <w:pStyle w:val="9"/>
        <w:tabs>
          <w:tab w:val="center" w:pos="4479"/>
          <w:tab w:val="right" w:pos="8958"/>
        </w:tabs>
        <w:rPr>
          <w:rFonts w:ascii="宋体" w:hAnsi="宋体" w:eastAsia="宋体" w:cs="宋体"/>
          <w:sz w:val="60"/>
          <w:szCs w:val="60"/>
        </w:rPr>
      </w:pPr>
      <w:r>
        <w:rPr>
          <w:rFonts w:hint="eastAsia" w:ascii="宋体" w:hAnsi="宋体" w:eastAsia="宋体" w:cs="宋体"/>
          <w:sz w:val="60"/>
          <w:szCs w:val="60"/>
        </w:rPr>
        <w:t>NextGENe二代测序数据处理软件</w:t>
      </w:r>
    </w:p>
    <w:p>
      <w:pPr>
        <w:pStyle w:val="9"/>
        <w:tabs>
          <w:tab w:val="center" w:pos="4479"/>
          <w:tab w:val="right" w:pos="8958"/>
        </w:tabs>
        <w:rPr>
          <w:rFonts w:ascii="宋体" w:hAnsi="宋体" w:eastAsia="宋体" w:cs="宋体"/>
          <w:sz w:val="60"/>
          <w:szCs w:val="60"/>
        </w:rPr>
      </w:pPr>
      <w:r>
        <w:rPr>
          <w:rFonts w:hint="eastAsia" w:ascii="宋体" w:hAnsi="宋体" w:eastAsia="宋体" w:cs="宋体"/>
          <w:sz w:val="60"/>
          <w:szCs w:val="60"/>
        </w:rPr>
        <w:t>采购项目</w:t>
      </w:r>
    </w:p>
    <w:p>
      <w:pPr>
        <w:pStyle w:val="17"/>
        <w:spacing w:line="312" w:lineRule="atLeast"/>
        <w:outlineLvl w:val="0"/>
        <w:rPr>
          <w:rFonts w:ascii="宋体" w:hAnsi="宋体" w:cs="宋体"/>
          <w:sz w:val="60"/>
          <w:szCs w:val="60"/>
        </w:rPr>
      </w:pPr>
    </w:p>
    <w:p>
      <w:pPr>
        <w:pStyle w:val="17"/>
        <w:spacing w:line="312" w:lineRule="atLeast"/>
        <w:outlineLvl w:val="0"/>
        <w:rPr>
          <w:rFonts w:ascii="宋体" w:hAnsi="宋体" w:cs="宋体"/>
          <w:sz w:val="60"/>
          <w:szCs w:val="60"/>
        </w:rPr>
      </w:pPr>
      <w:r>
        <w:rPr>
          <w:rFonts w:hint="eastAsia" w:ascii="宋体" w:hAnsi="宋体" w:cs="宋体"/>
          <w:sz w:val="60"/>
          <w:szCs w:val="60"/>
        </w:rPr>
        <w:t>遴选文件</w:t>
      </w:r>
    </w:p>
    <w:p>
      <w:pPr>
        <w:tabs>
          <w:tab w:val="left" w:pos="3150"/>
        </w:tabs>
        <w:jc w:val="center"/>
        <w:rPr>
          <w:rFonts w:ascii="宋体" w:hAnsi="宋体" w:cs="宋体"/>
          <w:b/>
          <w:sz w:val="36"/>
          <w:szCs w:val="20"/>
        </w:rPr>
      </w:pPr>
    </w:p>
    <w:p>
      <w:pPr>
        <w:tabs>
          <w:tab w:val="left" w:pos="3150"/>
        </w:tabs>
        <w:jc w:val="center"/>
        <w:rPr>
          <w:rFonts w:ascii="宋体" w:hAnsi="宋体" w:cs="宋体"/>
          <w:b/>
          <w:sz w:val="36"/>
          <w:szCs w:val="20"/>
        </w:rPr>
      </w:pPr>
    </w:p>
    <w:p>
      <w:pPr>
        <w:tabs>
          <w:tab w:val="left" w:pos="3150"/>
        </w:tabs>
        <w:jc w:val="center"/>
        <w:rPr>
          <w:rFonts w:ascii="宋体" w:hAnsi="宋体" w:cs="宋体"/>
          <w:b/>
          <w:sz w:val="36"/>
          <w:szCs w:val="20"/>
        </w:rPr>
      </w:pPr>
    </w:p>
    <w:p>
      <w:pPr>
        <w:tabs>
          <w:tab w:val="left" w:pos="3150"/>
        </w:tabs>
        <w:jc w:val="center"/>
        <w:rPr>
          <w:rFonts w:ascii="宋体" w:hAnsi="宋体" w:cs="宋体"/>
          <w:b/>
          <w:sz w:val="36"/>
          <w:szCs w:val="20"/>
        </w:rPr>
      </w:pPr>
      <w:r>
        <w:rPr>
          <w:rFonts w:hint="eastAsia" w:ascii="宋体" w:hAnsi="宋体" w:cs="宋体"/>
          <w:b/>
          <w:sz w:val="36"/>
          <w:szCs w:val="20"/>
        </w:rPr>
        <w:t>遴选编号：2022-ETLXXB-003</w:t>
      </w:r>
    </w:p>
    <w:p>
      <w:pPr>
        <w:pStyle w:val="9"/>
        <w:rPr>
          <w:rFonts w:ascii="宋体" w:hAnsi="宋体" w:eastAsia="宋体" w:cs="宋体"/>
          <w:sz w:val="36"/>
        </w:rPr>
      </w:pPr>
    </w:p>
    <w:p>
      <w:pPr>
        <w:pStyle w:val="9"/>
        <w:rPr>
          <w:rFonts w:ascii="宋体" w:hAnsi="宋体" w:eastAsia="宋体" w:cs="宋体"/>
          <w:sz w:val="36"/>
        </w:rPr>
      </w:pPr>
      <w:r>
        <w:rPr>
          <w:rFonts w:hint="eastAsia" w:ascii="宋体" w:hAnsi="宋体" w:eastAsia="宋体" w:cs="宋体"/>
          <w:sz w:val="36"/>
        </w:rPr>
        <w:t>2022年</w:t>
      </w:r>
      <w:r>
        <w:rPr>
          <w:rFonts w:hint="eastAsia" w:ascii="宋体" w:hAnsi="宋体" w:eastAsia="宋体" w:cs="宋体"/>
          <w:sz w:val="36"/>
          <w:lang w:val="en-US" w:eastAsia="zh-CN"/>
        </w:rPr>
        <w:t>06</w:t>
      </w:r>
      <w:r>
        <w:rPr>
          <w:rFonts w:hint="eastAsia" w:ascii="宋体" w:hAnsi="宋体" w:eastAsia="宋体" w:cs="宋体"/>
          <w:sz w:val="36"/>
        </w:rPr>
        <w:t>月</w:t>
      </w:r>
      <w:r>
        <w:rPr>
          <w:rFonts w:hint="eastAsia" w:ascii="宋体" w:hAnsi="宋体" w:eastAsia="宋体" w:cs="宋体"/>
          <w:sz w:val="36"/>
          <w:lang w:val="en-US" w:eastAsia="zh-CN"/>
        </w:rPr>
        <w:t>06</w:t>
      </w:r>
      <w:r>
        <w:rPr>
          <w:rFonts w:hint="eastAsia" w:ascii="宋体" w:hAnsi="宋体" w:eastAsia="宋体" w:cs="宋体"/>
          <w:sz w:val="36"/>
        </w:rPr>
        <w:t>日</w:t>
      </w:r>
    </w:p>
    <w:p>
      <w:pPr>
        <w:pStyle w:val="9"/>
        <w:rPr>
          <w:rFonts w:ascii="宋体" w:hAnsi="宋体" w:eastAsia="宋体" w:cs="宋体"/>
          <w:sz w:val="36"/>
        </w:rPr>
      </w:pPr>
    </w:p>
    <w:p>
      <w:pPr>
        <w:pStyle w:val="9"/>
        <w:rPr>
          <w:rFonts w:ascii="宋体" w:hAnsi="宋体" w:eastAsia="宋体" w:cs="宋体"/>
          <w:sz w:val="36"/>
        </w:rPr>
      </w:pPr>
    </w:p>
    <w:p>
      <w:pPr>
        <w:pStyle w:val="9"/>
        <w:rPr>
          <w:rFonts w:ascii="宋体" w:hAnsi="宋体" w:eastAsia="宋体" w:cs="宋体"/>
          <w:sz w:val="36"/>
        </w:rPr>
      </w:pPr>
    </w:p>
    <w:p>
      <w:pPr>
        <w:pStyle w:val="9"/>
        <w:jc w:val="both"/>
        <w:rPr>
          <w:rFonts w:ascii="宋体" w:hAnsi="宋体" w:eastAsia="宋体" w:cs="宋体"/>
          <w:sz w:val="36"/>
        </w:rPr>
      </w:pPr>
    </w:p>
    <w:p>
      <w:pPr>
        <w:pStyle w:val="18"/>
        <w:jc w:val="both"/>
        <w:rPr>
          <w:rFonts w:ascii="宋体" w:hAnsi="宋体" w:eastAsia="宋体" w:cs="宋体"/>
        </w:rPr>
      </w:pPr>
      <w:bookmarkStart w:id="0" w:name="_Toc78271168"/>
      <w:r>
        <w:rPr>
          <w:rFonts w:hint="eastAsia" w:ascii="宋体" w:hAnsi="宋体" w:eastAsia="宋体" w:cs="宋体"/>
        </w:rPr>
        <w:t xml:space="preserve">                 第一章 </w:t>
      </w:r>
      <w:r>
        <w:rPr>
          <w:rFonts w:hint="eastAsia" w:ascii="宋体" w:hAnsi="宋体" w:eastAsia="宋体" w:cs="宋体"/>
        </w:rPr>
        <w:tab/>
      </w:r>
      <w:r>
        <w:rPr>
          <w:rFonts w:hint="eastAsia" w:ascii="宋体" w:hAnsi="宋体" w:eastAsia="宋体" w:cs="宋体"/>
        </w:rPr>
        <w:t>遴选邀请</w:t>
      </w:r>
      <w:bookmarkEnd w:id="0"/>
    </w:p>
    <w:p>
      <w:pPr>
        <w:tabs>
          <w:tab w:val="left" w:pos="3150"/>
        </w:tabs>
        <w:rPr>
          <w:rFonts w:ascii="宋体" w:hAnsi="宋体" w:cs="宋体"/>
          <w:sz w:val="24"/>
        </w:rPr>
      </w:pPr>
      <w:r>
        <w:rPr>
          <w:rFonts w:hint="eastAsia" w:ascii="宋体" w:hAnsi="宋体" w:cs="宋体"/>
          <w:sz w:val="24"/>
        </w:rPr>
        <w:t>遴选编号：2022-ETLXXB-003</w:t>
      </w:r>
    </w:p>
    <w:p>
      <w:pPr>
        <w:pStyle w:val="19"/>
        <w:numPr>
          <w:ilvl w:val="0"/>
          <w:numId w:val="1"/>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根据医院有关规定，经院主管部门批准，我院拟对NextGENe二代测序数据处理软件采购项目现以院内遴选采购的方式就下列所提供的货物和相关服务进行采购。</w:t>
      </w:r>
    </w:p>
    <w:p>
      <w:pPr>
        <w:pStyle w:val="19"/>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12"/>
        <w:tblW w:w="8357" w:type="dxa"/>
        <w:tblInd w:w="777" w:type="dxa"/>
        <w:tblLayout w:type="autofit"/>
        <w:tblCellMar>
          <w:top w:w="0" w:type="dxa"/>
          <w:left w:w="108" w:type="dxa"/>
          <w:bottom w:w="0" w:type="dxa"/>
          <w:right w:w="108" w:type="dxa"/>
        </w:tblCellMar>
      </w:tblPr>
      <w:tblGrid>
        <w:gridCol w:w="1153"/>
        <w:gridCol w:w="3622"/>
        <w:gridCol w:w="1197"/>
        <w:gridCol w:w="2385"/>
      </w:tblGrid>
      <w:tr>
        <w:tblPrEx>
          <w:tblCellMar>
            <w:top w:w="0" w:type="dxa"/>
            <w:left w:w="108" w:type="dxa"/>
            <w:bottom w:w="0" w:type="dxa"/>
            <w:right w:w="108" w:type="dxa"/>
          </w:tblCellMar>
        </w:tblPrEx>
        <w:trPr>
          <w:trHeight w:val="497" w:hRule="exact"/>
        </w:trPr>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序号</w:t>
            </w:r>
          </w:p>
        </w:tc>
        <w:tc>
          <w:tcPr>
            <w:tcW w:w="362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项目名称</w:t>
            </w:r>
          </w:p>
        </w:tc>
        <w:tc>
          <w:tcPr>
            <w:tcW w:w="11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数量</w:t>
            </w:r>
          </w:p>
        </w:tc>
        <w:tc>
          <w:tcPr>
            <w:tcW w:w="23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项目预算（元）</w:t>
            </w:r>
          </w:p>
        </w:tc>
      </w:tr>
      <w:tr>
        <w:tblPrEx>
          <w:tblCellMar>
            <w:top w:w="0" w:type="dxa"/>
            <w:left w:w="108" w:type="dxa"/>
            <w:bottom w:w="0" w:type="dxa"/>
            <w:right w:w="108" w:type="dxa"/>
          </w:tblCellMar>
        </w:tblPrEx>
        <w:trPr>
          <w:trHeight w:val="822" w:hRule="exact"/>
        </w:trPr>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1</w:t>
            </w:r>
          </w:p>
        </w:tc>
        <w:tc>
          <w:tcPr>
            <w:tcW w:w="362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NextGENe二代测序数据处理软件</w:t>
            </w:r>
          </w:p>
        </w:tc>
        <w:tc>
          <w:tcPr>
            <w:tcW w:w="11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1</w:t>
            </w:r>
          </w:p>
        </w:tc>
        <w:tc>
          <w:tcPr>
            <w:tcW w:w="23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60000.00</w:t>
            </w:r>
          </w:p>
        </w:tc>
      </w:tr>
    </w:tbl>
    <w:p>
      <w:pPr>
        <w:pStyle w:val="19"/>
        <w:autoSpaceDE w:val="0"/>
        <w:autoSpaceDN w:val="0"/>
        <w:spacing w:line="360" w:lineRule="exact"/>
        <w:ind w:left="105" w:leftChars="50" w:firstLine="360" w:firstLineChars="150"/>
        <w:jc w:val="left"/>
        <w:rPr>
          <w:rFonts w:ascii="宋体" w:hAnsi="宋体" w:eastAsia="宋体" w:cs="宋体"/>
          <w:sz w:val="24"/>
          <w:szCs w:val="24"/>
        </w:rPr>
      </w:pPr>
      <w:r>
        <w:rPr>
          <w:rFonts w:hint="eastAsia" w:ascii="宋体" w:hAnsi="宋体" w:eastAsia="宋体" w:cs="宋体"/>
          <w:sz w:val="24"/>
          <w:szCs w:val="24"/>
        </w:rPr>
        <w:t>说明：1、超过预算的投标将被否决。</w:t>
      </w:r>
    </w:p>
    <w:p>
      <w:pPr>
        <w:pStyle w:val="19"/>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投标人资质要求：</w:t>
      </w:r>
    </w:p>
    <w:p>
      <w:pPr>
        <w:pStyle w:val="19"/>
        <w:numPr>
          <w:ilvl w:val="0"/>
          <w:numId w:val="2"/>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投标人为具有合法经营资质的独立法人、其他组织；</w:t>
      </w:r>
    </w:p>
    <w:p>
      <w:pPr>
        <w:pStyle w:val="19"/>
        <w:numPr>
          <w:ilvl w:val="0"/>
          <w:numId w:val="3"/>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投标人在参加采购活动前三年内，在经营活动中没有重大违法记录，并提交《无重大违法记录承诺书》</w:t>
      </w:r>
      <w:r>
        <w:rPr>
          <w:rFonts w:hint="eastAsia" w:ascii="宋体" w:hAnsi="宋体" w:eastAsia="宋体" w:cs="宋体"/>
          <w:sz w:val="24"/>
          <w:szCs w:val="24"/>
        </w:rPr>
        <w:t>（详见遴选文件中附件6）</w:t>
      </w:r>
      <w:r>
        <w:rPr>
          <w:rFonts w:hint="eastAsia" w:ascii="宋体" w:hAnsi="宋体" w:eastAsia="宋体" w:cs="宋体"/>
          <w:bCs/>
          <w:sz w:val="24"/>
          <w:szCs w:val="24"/>
        </w:rPr>
        <w:t>。</w:t>
      </w:r>
    </w:p>
    <w:p>
      <w:pPr>
        <w:pStyle w:val="19"/>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bCs/>
          <w:sz w:val="24"/>
          <w:szCs w:val="24"/>
        </w:rPr>
        <w:t>投标人未被“信用中国”网站(www.creditchina.gov.cn)列入失信被执行人名单、重大税收违法案件当事人名单。</w:t>
      </w:r>
    </w:p>
    <w:p>
      <w:pPr>
        <w:pStyle w:val="19"/>
        <w:numPr>
          <w:ilvl w:val="0"/>
          <w:numId w:val="1"/>
        </w:numPr>
        <w:autoSpaceDE w:val="0"/>
        <w:autoSpaceDN w:val="0"/>
        <w:spacing w:line="360" w:lineRule="exact"/>
        <w:jc w:val="left"/>
        <w:rPr>
          <w:rFonts w:ascii="宋体" w:hAnsi="宋体" w:eastAsia="宋体" w:cs="宋体"/>
          <w:b/>
          <w:sz w:val="24"/>
          <w:szCs w:val="24"/>
        </w:rPr>
      </w:pPr>
      <w:bookmarkStart w:id="1" w:name="_Toc461613082"/>
      <w:bookmarkStart w:id="2" w:name="_Toc461613010"/>
      <w:r>
        <w:rPr>
          <w:rFonts w:hint="eastAsia" w:ascii="宋体" w:hAnsi="宋体" w:eastAsia="宋体" w:cs="宋体"/>
          <w:b/>
          <w:sz w:val="24"/>
          <w:szCs w:val="24"/>
        </w:rPr>
        <w:t>遴选响应文件要求</w:t>
      </w:r>
    </w:p>
    <w:p>
      <w:pPr>
        <w:pStyle w:val="19"/>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rPr>
        <w:t>2022年</w:t>
      </w:r>
      <w:r>
        <w:rPr>
          <w:rFonts w:hint="eastAsia" w:ascii="宋体" w:hAnsi="宋体" w:eastAsia="宋体" w:cs="宋体"/>
          <w:b/>
          <w:sz w:val="24"/>
          <w:szCs w:val="24"/>
          <w:highlight w:val="none"/>
          <w:lang w:val="en-US" w:eastAsia="zh-CN"/>
        </w:rPr>
        <w:t>06</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06</w:t>
      </w:r>
      <w:r>
        <w:rPr>
          <w:rFonts w:hint="eastAsia" w:ascii="宋体" w:hAnsi="宋体" w:eastAsia="宋体" w:cs="宋体"/>
          <w:b/>
          <w:sz w:val="24"/>
          <w:szCs w:val="24"/>
          <w:highlight w:val="none"/>
        </w:rPr>
        <w:t>日</w:t>
      </w:r>
      <w:r>
        <w:rPr>
          <w:rFonts w:hint="eastAsia" w:ascii="宋体" w:hAnsi="宋体" w:eastAsia="宋体" w:cs="宋体"/>
          <w:b/>
          <w:sz w:val="24"/>
          <w:szCs w:val="24"/>
        </w:rPr>
        <w:t>起至2022年</w:t>
      </w:r>
      <w:r>
        <w:rPr>
          <w:rFonts w:hint="eastAsia" w:ascii="宋体" w:hAnsi="宋体" w:eastAsia="宋体" w:cs="宋体"/>
          <w:b/>
          <w:sz w:val="24"/>
          <w:szCs w:val="24"/>
          <w:highlight w:val="none"/>
          <w:lang w:val="en-US" w:eastAsia="zh-CN"/>
        </w:rPr>
        <w:t>06</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12</w:t>
      </w:r>
      <w:r>
        <w:rPr>
          <w:rFonts w:hint="eastAsia" w:ascii="宋体" w:hAnsi="宋体" w:eastAsia="宋体" w:cs="宋体"/>
          <w:b/>
          <w:sz w:val="24"/>
          <w:szCs w:val="24"/>
          <w:highlight w:val="none"/>
        </w:rPr>
        <w:t>日</w:t>
      </w:r>
      <w:r>
        <w:rPr>
          <w:rFonts w:hint="eastAsia" w:ascii="宋体" w:hAnsi="宋体" w:eastAsia="宋体" w:cs="宋体"/>
          <w:sz w:val="24"/>
          <w:szCs w:val="24"/>
        </w:rPr>
        <w:t>止上海市儿童医院官网中“医疗动态”栏的“招标公示”界面下(http://www.shchildren.com.cn/channels/95.html)自行下载遴选文件并于截止时间前完成“供应商平台”接待登记，接待部门请选择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19"/>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7" cstate="print"/>
                    <a:stretch>
                      <a:fillRect/>
                    </a:stretch>
                  </pic:blipFill>
                  <pic:spPr>
                    <a:xfrm>
                      <a:off x="0" y="0"/>
                      <a:ext cx="4366260" cy="1298575"/>
                    </a:xfrm>
                    <a:prstGeom prst="rect">
                      <a:avLst/>
                    </a:prstGeom>
                    <a:noFill/>
                    <a:ln>
                      <a:noFill/>
                    </a:ln>
                  </pic:spPr>
                </pic:pic>
              </a:graphicData>
            </a:graphic>
          </wp:anchor>
        </w:drawing>
      </w:r>
    </w:p>
    <w:p>
      <w:pPr>
        <w:pStyle w:val="19"/>
        <w:autoSpaceDE w:val="0"/>
        <w:autoSpaceDN w:val="0"/>
        <w:spacing w:line="360" w:lineRule="exact"/>
        <w:ind w:firstLine="0"/>
        <w:jc w:val="left"/>
        <w:rPr>
          <w:rFonts w:ascii="宋体" w:hAnsi="宋体" w:eastAsia="宋体" w:cs="宋体"/>
          <w:sz w:val="24"/>
          <w:szCs w:val="24"/>
        </w:rPr>
      </w:pPr>
    </w:p>
    <w:p>
      <w:pPr>
        <w:pStyle w:val="19"/>
        <w:autoSpaceDE w:val="0"/>
        <w:autoSpaceDN w:val="0"/>
        <w:spacing w:line="360" w:lineRule="exact"/>
        <w:ind w:firstLine="0"/>
        <w:jc w:val="left"/>
        <w:rPr>
          <w:rFonts w:ascii="宋体" w:hAnsi="宋体" w:eastAsia="宋体" w:cs="宋体"/>
          <w:sz w:val="24"/>
          <w:szCs w:val="24"/>
        </w:rPr>
      </w:pPr>
    </w:p>
    <w:p>
      <w:pPr>
        <w:pStyle w:val="19"/>
        <w:autoSpaceDE w:val="0"/>
        <w:autoSpaceDN w:val="0"/>
        <w:spacing w:line="360" w:lineRule="exact"/>
        <w:ind w:firstLine="0"/>
        <w:jc w:val="left"/>
        <w:rPr>
          <w:rFonts w:ascii="宋体" w:hAnsi="宋体" w:eastAsia="宋体" w:cs="宋体"/>
          <w:sz w:val="24"/>
          <w:szCs w:val="24"/>
        </w:rPr>
      </w:pPr>
    </w:p>
    <w:p>
      <w:pPr>
        <w:pStyle w:val="19"/>
        <w:autoSpaceDE w:val="0"/>
        <w:autoSpaceDN w:val="0"/>
        <w:spacing w:line="360" w:lineRule="exact"/>
        <w:ind w:firstLine="0"/>
        <w:jc w:val="left"/>
        <w:rPr>
          <w:rFonts w:ascii="宋体" w:hAnsi="宋体" w:eastAsia="宋体" w:cs="宋体"/>
          <w:sz w:val="24"/>
          <w:szCs w:val="24"/>
        </w:rPr>
      </w:pPr>
    </w:p>
    <w:p>
      <w:pPr>
        <w:pStyle w:val="19"/>
        <w:autoSpaceDE w:val="0"/>
        <w:autoSpaceDN w:val="0"/>
        <w:spacing w:line="360" w:lineRule="exact"/>
        <w:ind w:firstLine="0"/>
        <w:jc w:val="left"/>
        <w:rPr>
          <w:rFonts w:ascii="宋体" w:hAnsi="宋体" w:eastAsia="宋体" w:cs="宋体"/>
          <w:sz w:val="24"/>
          <w:szCs w:val="24"/>
        </w:rPr>
      </w:pPr>
    </w:p>
    <w:p>
      <w:pPr>
        <w:pStyle w:val="19"/>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遴选响应文件应包括但不限于遴选采购报价表、公司（企业）营业执照、法人代表授权书、产品授权书、系统详细的功能、售后服务承诺书、类似项目案例无重大违法记录承诺书、无行贿犯罪记录声明函的复印件加盖公司公章。</w:t>
      </w:r>
    </w:p>
    <w:p>
      <w:pPr>
        <w:pStyle w:val="19"/>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遴选采购报价表：成交价格</w:t>
      </w:r>
      <w:r>
        <w:rPr>
          <w:rFonts w:hint="eastAsia" w:ascii="宋体" w:hAnsi="宋体" w:eastAsia="宋体" w:cs="宋体"/>
          <w:b/>
          <w:sz w:val="24"/>
          <w:szCs w:val="24"/>
          <w:highlight w:val="none"/>
        </w:rPr>
        <w:t>（人民币报价）</w:t>
      </w:r>
      <w:r>
        <w:rPr>
          <w:rFonts w:hint="eastAsia" w:ascii="宋体" w:hAnsi="宋体" w:eastAsia="宋体" w:cs="宋体"/>
          <w:sz w:val="24"/>
          <w:szCs w:val="24"/>
          <w:highlight w:val="none"/>
        </w:rPr>
        <w:t>及交货时间（详见遴选文件中附件1）；</w:t>
      </w:r>
    </w:p>
    <w:p>
      <w:pPr>
        <w:pStyle w:val="19"/>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b/>
          <w:bCs/>
          <w:sz w:val="24"/>
          <w:szCs w:val="24"/>
          <w:highlight w:val="none"/>
        </w:rPr>
        <w:t>资格证明文件</w:t>
      </w:r>
      <w:r>
        <w:rPr>
          <w:rFonts w:hint="eastAsia" w:ascii="宋体" w:hAnsi="宋体" w:eastAsia="宋体" w:cs="宋体"/>
          <w:sz w:val="24"/>
          <w:szCs w:val="24"/>
          <w:highlight w:val="none"/>
        </w:rPr>
        <w:t>包括：供应商的资格文件（三证合一的企业法人营业执照、法人代表授权书）等相关证明的复印件（附件2法人授权格式）；</w:t>
      </w:r>
    </w:p>
    <w:p>
      <w:pPr>
        <w:pStyle w:val="19"/>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设备详细配置：包括提供的信息系统详细的功能清单及技术参数响应情况，并填写技术参数偏离表（详见遴选文件中附件3）；</w:t>
      </w:r>
    </w:p>
    <w:p>
      <w:pPr>
        <w:pStyle w:val="19"/>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售后服务承诺书：请写明质保期的时间、保修内容、维修服务响应时间、出保后的维修费用、培训等</w:t>
      </w:r>
      <w:bookmarkStart w:id="3" w:name="_Toc461613085"/>
      <w:bookmarkStart w:id="4" w:name="_Toc461613013"/>
      <w:r>
        <w:rPr>
          <w:rFonts w:hint="eastAsia" w:ascii="宋体" w:hAnsi="宋体" w:eastAsia="宋体" w:cs="宋体"/>
          <w:sz w:val="24"/>
          <w:szCs w:val="24"/>
          <w:highlight w:val="none"/>
        </w:rPr>
        <w:t>；</w:t>
      </w:r>
    </w:p>
    <w:bookmarkEnd w:id="3"/>
    <w:bookmarkEnd w:id="4"/>
    <w:p>
      <w:pPr>
        <w:pStyle w:val="19"/>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用户名单：自2018年1月1日以来投标人承接的同类项目案例的用户名单，并提供联系人及联系方式（附合同摘要）（详见遴选文件中附件4）；</w:t>
      </w:r>
    </w:p>
    <w:p>
      <w:pPr>
        <w:pStyle w:val="19"/>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供应商需提供在“信用中国”网站（www.creditchina.gov.cn）上的查询结果截图（详见遴选文件中附件5）；</w:t>
      </w:r>
    </w:p>
    <w:p>
      <w:pPr>
        <w:pStyle w:val="19"/>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无重大违法记录承诺书（详见遴选文件中附件6）；</w:t>
      </w:r>
    </w:p>
    <w:p>
      <w:pPr>
        <w:pStyle w:val="19"/>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无行贿犯罪记录声明函（详见遴选文件中附件7）；</w:t>
      </w:r>
    </w:p>
    <w:p>
      <w:pPr>
        <w:pStyle w:val="19"/>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服务方案：包括总体解决方案、实施计划、项目管理计划、质量保证计划、项目风险控制措施、服务能力介绍、售后服务方案等。</w:t>
      </w:r>
    </w:p>
    <w:p>
      <w:pPr>
        <w:pStyle w:val="19"/>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投标人认为有必要说明的其他文件。</w:t>
      </w:r>
    </w:p>
    <w:p>
      <w:pPr>
        <w:pStyle w:val="19"/>
        <w:numPr>
          <w:ilvl w:val="0"/>
          <w:numId w:val="4"/>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遴选响应文件的份数：纸质正本1份，电子版1份（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sz w:val="24"/>
          <w:szCs w:val="24"/>
          <w:highlight w:val="none"/>
          <w:u w:val="single"/>
        </w:rPr>
        <w:t>开标后</w:t>
      </w:r>
      <w:r>
        <w:rPr>
          <w:rFonts w:hint="eastAsia" w:ascii="宋体" w:hAnsi="宋体" w:eastAsia="宋体" w:cs="宋体"/>
          <w:sz w:val="24"/>
          <w:szCs w:val="24"/>
          <w:highlight w:val="none"/>
        </w:rPr>
        <w:t>发送至邮箱</w:t>
      </w:r>
      <w:r>
        <w:rPr>
          <w:highlight w:val="none"/>
        </w:rPr>
        <w:fldChar w:fldCharType="begin"/>
      </w:r>
      <w:r>
        <w:rPr>
          <w:highlight w:val="none"/>
        </w:rPr>
        <w:instrText xml:space="preserve"> HYPERLINK "mailto:liyi@shchildren.com.cn" </w:instrText>
      </w:r>
      <w:r>
        <w:rPr>
          <w:highlight w:val="none"/>
        </w:rPr>
        <w:fldChar w:fldCharType="separate"/>
      </w:r>
      <w:r>
        <w:rPr>
          <w:rStyle w:val="15"/>
          <w:rFonts w:ascii="宋体"/>
          <w:szCs w:val="21"/>
          <w:highlight w:val="none"/>
        </w:rPr>
        <w:t>liyi@shchildren.com.cn</w:t>
      </w:r>
      <w:r>
        <w:rPr>
          <w:rStyle w:val="15"/>
          <w:rFonts w:ascii="宋体"/>
          <w:szCs w:val="21"/>
          <w:highlight w:val="none"/>
        </w:rPr>
        <w:fldChar w:fldCharType="end"/>
      </w:r>
      <w:r>
        <w:rPr>
          <w:rFonts w:hint="eastAsia" w:ascii="宋体" w:hAnsi="宋体" w:eastAsia="宋体" w:cs="宋体"/>
          <w:sz w:val="24"/>
          <w:szCs w:val="24"/>
          <w:highlight w:val="none"/>
        </w:rPr>
        <w:t>）。</w:t>
      </w:r>
    </w:p>
    <w:p>
      <w:pPr>
        <w:pStyle w:val="19"/>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pPr>
        <w:pStyle w:val="19"/>
        <w:autoSpaceDE w:val="0"/>
        <w:autoSpaceDN w:val="0"/>
        <w:spacing w:line="360" w:lineRule="exact"/>
        <w:ind w:leftChars="200" w:firstLine="0"/>
        <w:rPr>
          <w:rFonts w:ascii="宋体" w:hAnsi="宋体" w:eastAsia="宋体" w:cs="宋体"/>
          <w:sz w:val="24"/>
          <w:szCs w:val="24"/>
        </w:rPr>
      </w:pPr>
      <w:bookmarkStart w:id="5" w:name="OLE_LINK16"/>
      <w:bookmarkStart w:id="6" w:name="OLE_LINK11"/>
      <w:r>
        <w:rPr>
          <w:rFonts w:hint="eastAsia" w:ascii="宋体" w:hAnsi="宋体" w:eastAsia="宋体" w:cs="宋体"/>
          <w:sz w:val="24"/>
          <w:szCs w:val="24"/>
        </w:rPr>
        <w:t>地址：</w:t>
      </w:r>
      <w:bookmarkStart w:id="7" w:name="OLE_LINK13"/>
      <w:r>
        <w:rPr>
          <w:rFonts w:hint="eastAsia" w:ascii="宋体" w:hAnsi="宋体" w:eastAsia="宋体" w:cs="宋体"/>
          <w:sz w:val="24"/>
          <w:szCs w:val="24"/>
        </w:rPr>
        <w:t>上海市普陀区泸定路355号1楼</w:t>
      </w:r>
    </w:p>
    <w:p>
      <w:pPr>
        <w:pStyle w:val="19"/>
        <w:autoSpaceDE w:val="0"/>
        <w:autoSpaceDN w:val="0"/>
        <w:spacing w:line="360" w:lineRule="exact"/>
        <w:ind w:leftChars="200" w:firstLine="0"/>
        <w:rPr>
          <w:rFonts w:ascii="宋体" w:hAnsi="宋体" w:eastAsia="宋体" w:cs="宋体"/>
          <w:sz w:val="24"/>
          <w:szCs w:val="24"/>
        </w:rPr>
      </w:pPr>
      <w:bookmarkStart w:id="8" w:name="OLE_LINK129"/>
      <w:r>
        <w:rPr>
          <w:rFonts w:hint="eastAsia" w:ascii="宋体" w:hAnsi="宋体" w:eastAsia="宋体" w:cs="宋体"/>
          <w:sz w:val="24"/>
          <w:szCs w:val="24"/>
        </w:rPr>
        <w:t>邮编：</w:t>
      </w:r>
      <w:bookmarkStart w:id="9" w:name="OLE_LINK17"/>
      <w:r>
        <w:rPr>
          <w:rFonts w:hint="eastAsia" w:ascii="宋体" w:hAnsi="宋体" w:eastAsia="宋体" w:cs="宋体"/>
          <w:sz w:val="24"/>
          <w:szCs w:val="24"/>
        </w:rPr>
        <w:t>200062</w:t>
      </w:r>
      <w:bookmarkEnd w:id="5"/>
      <w:bookmarkEnd w:id="8"/>
      <w:bookmarkEnd w:id="9"/>
    </w:p>
    <w:p>
      <w:pPr>
        <w:pStyle w:val="19"/>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6"/>
    <w:bookmarkEnd w:id="7"/>
    <w:p>
      <w:pPr>
        <w:autoSpaceDE w:val="0"/>
        <w:autoSpaceDN w:val="0"/>
        <w:spacing w:line="360" w:lineRule="exact"/>
        <w:ind w:left="1470" w:hanging="1050"/>
        <w:rPr>
          <w:rFonts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1"/>
      <w:bookmarkEnd w:id="2"/>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5"/>
          <w:rFonts w:ascii="宋体"/>
          <w:szCs w:val="21"/>
        </w:rPr>
        <w:t>liyi@shchildren.com.cn</w:t>
      </w:r>
      <w:r>
        <w:rPr>
          <w:rFonts w:ascii="宋体"/>
          <w:szCs w:val="21"/>
        </w:rPr>
        <w:fldChar w:fldCharType="end"/>
      </w:r>
    </w:p>
    <w:p>
      <w:pPr>
        <w:pStyle w:val="19"/>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pPr>
        <w:keepNext w:val="0"/>
        <w:keepLines w:val="0"/>
        <w:widowControl/>
        <w:suppressLineNumbers w:val="0"/>
        <w:ind w:firstLine="42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根据疫情防控形势变化和医院疫情防控要求，取消近期遴选项目的现场开标，欲参与遴选的投标公司请务必点击</w:t>
      </w:r>
      <w:bookmarkStart w:id="10" w:name="_GoBack"/>
      <w:r>
        <w:rPr>
          <w:rFonts w:hint="eastAsia" w:ascii="宋体" w:hAnsi="宋体" w:eastAsia="宋体" w:cs="宋体"/>
          <w:kern w:val="2"/>
          <w:sz w:val="24"/>
          <w:szCs w:val="24"/>
          <w:highlight w:val="none"/>
          <w:u w:val="single"/>
          <w:lang w:val="en-US" w:eastAsia="zh-CN" w:bidi="ar-SA"/>
        </w:rPr>
        <w:t>https://www.wjx.top/vj/tvfyMRp.aspx</w:t>
      </w:r>
      <w:bookmarkEnd w:id="10"/>
      <w:r>
        <w:rPr>
          <w:rFonts w:hint="eastAsia" w:ascii="宋体" w:hAnsi="宋体" w:eastAsia="宋体" w:cs="宋体"/>
          <w:kern w:val="2"/>
          <w:sz w:val="24"/>
          <w:szCs w:val="24"/>
          <w:highlight w:val="none"/>
          <w:lang w:val="en-US" w:eastAsia="zh-CN" w:bidi="ar-SA"/>
        </w:rPr>
        <w:t>，填写“上海市儿童医院供应商遴选报名表”并将遴选响应文件按要求密封后，于截止日期</w:t>
      </w:r>
      <w:r>
        <w:rPr>
          <w:rFonts w:hint="eastAsia" w:ascii="宋体" w:hAnsi="宋体" w:eastAsia="宋体" w:cs="宋体"/>
          <w:kern w:val="2"/>
          <w:sz w:val="24"/>
          <w:szCs w:val="24"/>
          <w:highlight w:val="none"/>
          <w:u w:val="single"/>
          <w:lang w:val="en-US" w:eastAsia="zh-CN" w:bidi="ar-SA"/>
        </w:rPr>
        <w:t>（2022年06月</w:t>
      </w:r>
      <w:r>
        <w:rPr>
          <w:rFonts w:hint="eastAsia" w:ascii="宋体" w:hAnsi="宋体" w:cs="宋体"/>
          <w:kern w:val="2"/>
          <w:sz w:val="24"/>
          <w:szCs w:val="24"/>
          <w:highlight w:val="none"/>
          <w:u w:val="single"/>
          <w:lang w:val="en-US" w:eastAsia="zh-CN" w:bidi="ar-SA"/>
        </w:rPr>
        <w:t>12</w:t>
      </w:r>
      <w:r>
        <w:rPr>
          <w:rFonts w:hint="eastAsia" w:ascii="宋体" w:hAnsi="宋体" w:eastAsia="宋体" w:cs="宋体"/>
          <w:kern w:val="2"/>
          <w:sz w:val="24"/>
          <w:szCs w:val="24"/>
          <w:highlight w:val="none"/>
          <w:u w:val="single"/>
          <w:lang w:val="en-US" w:eastAsia="zh-CN" w:bidi="ar-SA"/>
        </w:rPr>
        <w:t>日北京时间17:00）</w:t>
      </w:r>
      <w:r>
        <w:rPr>
          <w:rFonts w:hint="eastAsia" w:ascii="宋体" w:hAnsi="宋体" w:eastAsia="宋体" w:cs="宋体"/>
          <w:kern w:val="2"/>
          <w:sz w:val="24"/>
          <w:szCs w:val="24"/>
          <w:highlight w:val="none"/>
          <w:lang w:val="en-US" w:eastAsia="zh-CN" w:bidi="ar-SA"/>
        </w:rPr>
        <w:t>前，快递至：上海市儿童医院泸定路355号1楼采购中心 联系人：李怡 13269250405</w:t>
      </w:r>
    </w:p>
    <w:p>
      <w:pPr>
        <w:keepNext w:val="0"/>
        <w:keepLines w:val="0"/>
        <w:widowControl/>
        <w:suppressLineNumbers w:val="0"/>
        <w:ind w:firstLine="420" w:firstLineChars="0"/>
        <w:jc w:val="left"/>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u w:val="single"/>
          <w:lang w:val="en-US" w:eastAsia="zh-CN" w:bidi="ar-SA"/>
        </w:rPr>
        <w:t>（为保证遴选响应文件在截止时间前到达，请务必提前寄出并及时跟踪物流信息。） </w:t>
      </w:r>
    </w:p>
    <w:p>
      <w:pPr>
        <w:pStyle w:val="19"/>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pPr>
        <w:pStyle w:val="19"/>
        <w:numPr>
          <w:ilvl w:val="0"/>
          <w:numId w:val="5"/>
        </w:numPr>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遴选响应文件中不满足技术规格中加注</w:t>
      </w:r>
      <w:r>
        <w:rPr>
          <w:rFonts w:hint="eastAsia" w:ascii="宋体" w:hAnsi="宋体" w:eastAsia="宋体" w:cs="宋体"/>
          <w:sz w:val="24"/>
        </w:rPr>
        <w:t>“★”</w:t>
      </w:r>
      <w:r>
        <w:rPr>
          <w:rFonts w:hint="eastAsia" w:ascii="宋体" w:hAnsi="宋体" w:eastAsia="宋体" w:cs="宋体"/>
          <w:sz w:val="24"/>
          <w:szCs w:val="24"/>
        </w:rPr>
        <w:t>要求的视为投标无效；</w:t>
      </w:r>
    </w:p>
    <w:p>
      <w:pPr>
        <w:pStyle w:val="19"/>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“▲”号的为关键技术参数，对任一关键技术参数低于遴选文件要求，其技术得分为0分。</w:t>
      </w:r>
    </w:p>
    <w:p>
      <w:pPr>
        <w:pStyle w:val="19"/>
        <w:numPr>
          <w:ilvl w:val="0"/>
          <w:numId w:val="6"/>
        </w:numPr>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 xml:space="preserve">采用综合评分法进行评审。评标委员会成员对所有的投标文件进行独立评审、评价、打分，得出每一投标人的综合得分，并计算出平均分值，按平均分值的高低依次排名，推荐出排名第一的为中标候选人。若投标人投标报价中存在缺漏项，则视作缺漏项包含在投标总价中，并将其他有效投标中该项的最高价计入其评标总价。签订合同时以投标总价为准。具体评分标准如下： </w:t>
      </w:r>
    </w:p>
    <w:tbl>
      <w:tblPr>
        <w:tblStyle w:val="12"/>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948"/>
        <w:gridCol w:w="5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52"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434"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52" w:type="pct"/>
            <w:vAlign w:val="center"/>
          </w:tcPr>
          <w:p>
            <w:pPr>
              <w:spacing w:line="360" w:lineRule="auto"/>
              <w:jc w:val="left"/>
              <w:rPr>
                <w:rFonts w:ascii="宋体" w:hAnsi="宋体" w:cs="宋体"/>
                <w:b/>
                <w:spacing w:val="8"/>
                <w:kern w:val="0"/>
                <w:sz w:val="24"/>
              </w:rPr>
            </w:pPr>
            <w:r>
              <w:rPr>
                <w:rFonts w:hint="eastAsia" w:ascii="宋体" w:hAnsi="宋体"/>
                <w:sz w:val="24"/>
              </w:rPr>
              <w:t>50分</w:t>
            </w:r>
          </w:p>
        </w:tc>
        <w:tc>
          <w:tcPr>
            <w:tcW w:w="3434" w:type="pct"/>
            <w:vAlign w:val="center"/>
          </w:tcPr>
          <w:p>
            <w:pPr>
              <w:spacing w:line="360" w:lineRule="auto"/>
              <w:jc w:val="left"/>
              <w:rPr>
                <w:rFonts w:ascii="宋体" w:hAnsi="宋体"/>
                <w:sz w:val="24"/>
              </w:rPr>
            </w:pPr>
            <w:r>
              <w:rPr>
                <w:rFonts w:hint="eastAsia" w:ascii="宋体" w:hAnsi="宋体"/>
                <w:sz w:val="24"/>
              </w:rPr>
              <w:t>N＝50*所有投标中的有效最低投标报价/合格投标人的投标报价。</w:t>
            </w:r>
          </w:p>
          <w:p>
            <w:pPr>
              <w:spacing w:line="360" w:lineRule="auto"/>
              <w:jc w:val="left"/>
              <w:rPr>
                <w:rFonts w:ascii="宋体" w:hAnsi="宋体"/>
                <w:sz w:val="24"/>
              </w:rPr>
            </w:pPr>
            <w:r>
              <w:rPr>
                <w:rFonts w:hint="eastAsia" w:ascii="宋体" w:hAnsi="宋体"/>
                <w:sz w:val="24"/>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pPr>
              <w:spacing w:line="360" w:lineRule="auto"/>
              <w:ind w:left="-91"/>
              <w:jc w:val="left"/>
              <w:rPr>
                <w:rFonts w:ascii="宋体" w:hAnsi="宋体"/>
                <w:sz w:val="24"/>
              </w:rPr>
            </w:pPr>
            <w:r>
              <w:rPr>
                <w:rFonts w:hint="eastAsia" w:ascii="宋体" w:hAnsi="宋体"/>
                <w:sz w:val="24"/>
              </w:rPr>
              <w:t>二、商务部分</w:t>
            </w:r>
          </w:p>
        </w:tc>
        <w:tc>
          <w:tcPr>
            <w:tcW w:w="3987" w:type="pct"/>
            <w:gridSpan w:val="2"/>
            <w:vAlign w:val="center"/>
          </w:tcPr>
          <w:p>
            <w:pPr>
              <w:spacing w:line="360" w:lineRule="auto"/>
              <w:jc w:val="left"/>
              <w:rPr>
                <w:rFonts w:ascii="宋体" w:hAnsi="宋体"/>
                <w:sz w:val="24"/>
              </w:rPr>
            </w:pPr>
            <w:r>
              <w:rPr>
                <w:rFonts w:hint="eastAsia" w:ascii="宋体" w:hAnsi="宋体"/>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tcPr>
          <w:p>
            <w:pPr>
              <w:spacing w:line="360" w:lineRule="auto"/>
              <w:jc w:val="left"/>
              <w:rPr>
                <w:rFonts w:ascii="宋体" w:hAnsi="宋体"/>
                <w:sz w:val="24"/>
              </w:rPr>
            </w:pPr>
            <w:r>
              <w:rPr>
                <w:rFonts w:hint="eastAsia" w:ascii="宋体" w:hAnsi="宋体"/>
                <w:sz w:val="24"/>
              </w:rPr>
              <w:t>1、综合实力</w:t>
            </w:r>
          </w:p>
        </w:tc>
        <w:tc>
          <w:tcPr>
            <w:tcW w:w="552" w:type="pct"/>
            <w:vAlign w:val="center"/>
          </w:tcPr>
          <w:p>
            <w:pPr>
              <w:spacing w:line="360" w:lineRule="auto"/>
              <w:jc w:val="left"/>
              <w:rPr>
                <w:rFonts w:ascii="宋体" w:hAnsi="宋体"/>
                <w:sz w:val="24"/>
              </w:rPr>
            </w:pPr>
            <w:r>
              <w:rPr>
                <w:rFonts w:hint="eastAsia" w:ascii="宋体" w:hAnsi="宋体"/>
                <w:sz w:val="24"/>
              </w:rPr>
              <w:t>5分</w:t>
            </w:r>
          </w:p>
        </w:tc>
        <w:tc>
          <w:tcPr>
            <w:tcW w:w="3434" w:type="pct"/>
          </w:tcPr>
          <w:p>
            <w:pPr>
              <w:spacing w:line="360" w:lineRule="auto"/>
              <w:jc w:val="left"/>
              <w:rPr>
                <w:rFonts w:ascii="宋体" w:hAnsi="宋体"/>
                <w:sz w:val="24"/>
              </w:rPr>
            </w:pPr>
            <w:r>
              <w:rPr>
                <w:rFonts w:hint="eastAsia" w:ascii="宋体" w:hAnsi="宋体"/>
                <w:sz w:val="24"/>
              </w:rPr>
              <w:t>根据投标人的所获资质及荣誉、财务能力、投标产品情况等综合评定。</w:t>
            </w:r>
          </w:p>
          <w:p>
            <w:pPr>
              <w:spacing w:line="360" w:lineRule="auto"/>
              <w:jc w:val="left"/>
              <w:rPr>
                <w:rFonts w:ascii="宋体" w:hAnsi="宋体"/>
                <w:sz w:val="24"/>
              </w:rPr>
            </w:pPr>
            <w:r>
              <w:rPr>
                <w:rFonts w:hint="eastAsia" w:ascii="宋体" w:hAnsi="宋体"/>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tcPr>
          <w:p>
            <w:pPr>
              <w:spacing w:line="360" w:lineRule="auto"/>
              <w:jc w:val="left"/>
              <w:rPr>
                <w:rFonts w:ascii="宋体" w:hAnsi="宋体"/>
                <w:sz w:val="24"/>
              </w:rPr>
            </w:pPr>
            <w:r>
              <w:rPr>
                <w:rFonts w:hint="eastAsia" w:ascii="宋体" w:hAnsi="宋体"/>
                <w:sz w:val="24"/>
              </w:rPr>
              <w:t>2、类似项目经验</w:t>
            </w:r>
          </w:p>
        </w:tc>
        <w:tc>
          <w:tcPr>
            <w:tcW w:w="552" w:type="pct"/>
            <w:vAlign w:val="center"/>
          </w:tcPr>
          <w:p>
            <w:pPr>
              <w:spacing w:line="360" w:lineRule="auto"/>
              <w:jc w:val="left"/>
              <w:rPr>
                <w:rFonts w:ascii="宋体" w:hAnsi="宋体"/>
                <w:sz w:val="24"/>
              </w:rPr>
            </w:pPr>
            <w:r>
              <w:rPr>
                <w:rFonts w:hint="eastAsia" w:ascii="宋体" w:hAnsi="宋体"/>
                <w:sz w:val="24"/>
              </w:rPr>
              <w:t>5分</w:t>
            </w:r>
          </w:p>
        </w:tc>
        <w:tc>
          <w:tcPr>
            <w:tcW w:w="3434" w:type="pct"/>
          </w:tcPr>
          <w:p>
            <w:pPr>
              <w:spacing w:line="360" w:lineRule="auto"/>
              <w:rPr>
                <w:rFonts w:ascii="宋体" w:hAnsi="宋体"/>
                <w:sz w:val="24"/>
              </w:rPr>
            </w:pPr>
            <w:r>
              <w:rPr>
                <w:rFonts w:hint="eastAsia" w:ascii="宋体" w:hAnsi="宋体"/>
                <w:sz w:val="24"/>
              </w:rPr>
              <w:t>投标人自2018年1月1日以来承接的类似相关业务经验证明(以合同复印件为准，复印件中需体现合同的签约主体、项目名称及内容、签约日期等合同要素的相关内容，否则将不予认可。)。</w:t>
            </w:r>
          </w:p>
          <w:p>
            <w:pPr>
              <w:spacing w:line="360" w:lineRule="auto"/>
              <w:rPr>
                <w:rFonts w:ascii="宋体" w:hAnsi="宋体"/>
                <w:sz w:val="24"/>
              </w:rPr>
            </w:pPr>
            <w:r>
              <w:rPr>
                <w:rFonts w:hint="eastAsia" w:ascii="宋体" w:hAnsi="宋体"/>
                <w:sz w:val="24"/>
              </w:rPr>
              <w:t>每有1个类似项目合同得1分，本项最高得分为5分。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12" w:type="pct"/>
          </w:tcPr>
          <w:p>
            <w:pPr>
              <w:spacing w:line="360" w:lineRule="auto"/>
              <w:ind w:left="-91"/>
              <w:jc w:val="left"/>
              <w:rPr>
                <w:rFonts w:ascii="宋体" w:hAnsi="宋体"/>
                <w:sz w:val="24"/>
              </w:rPr>
            </w:pPr>
            <w:r>
              <w:rPr>
                <w:rFonts w:hint="eastAsia" w:ascii="宋体" w:hAnsi="宋体"/>
                <w:sz w:val="24"/>
              </w:rPr>
              <w:t>三、技术部分</w:t>
            </w:r>
          </w:p>
        </w:tc>
        <w:tc>
          <w:tcPr>
            <w:tcW w:w="3987" w:type="pct"/>
            <w:gridSpan w:val="2"/>
            <w:vAlign w:val="center"/>
          </w:tcPr>
          <w:p>
            <w:pPr>
              <w:spacing w:line="360" w:lineRule="auto"/>
              <w:jc w:val="left"/>
              <w:rPr>
                <w:rFonts w:ascii="宋体" w:hAnsi="宋体"/>
                <w:sz w:val="24"/>
              </w:rPr>
            </w:pPr>
            <w:r>
              <w:rPr>
                <w:rFonts w:hint="eastAsia" w:ascii="宋体" w:hAnsi="宋体"/>
                <w:sz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2" w:type="pct"/>
          </w:tcPr>
          <w:p>
            <w:pPr>
              <w:spacing w:line="360" w:lineRule="auto"/>
              <w:jc w:val="left"/>
              <w:rPr>
                <w:rFonts w:ascii="宋体" w:hAnsi="宋体"/>
                <w:sz w:val="24"/>
              </w:rPr>
            </w:pPr>
            <w:r>
              <w:rPr>
                <w:rFonts w:hint="eastAsia" w:ascii="宋体" w:hAnsi="宋体"/>
                <w:sz w:val="24"/>
              </w:rPr>
              <w:t>1、需求响应情况</w:t>
            </w:r>
          </w:p>
        </w:tc>
        <w:tc>
          <w:tcPr>
            <w:tcW w:w="552" w:type="pct"/>
            <w:vAlign w:val="center"/>
          </w:tcPr>
          <w:p>
            <w:pPr>
              <w:spacing w:line="360" w:lineRule="auto"/>
              <w:jc w:val="left"/>
              <w:rPr>
                <w:rFonts w:ascii="宋体" w:hAnsi="宋体"/>
                <w:sz w:val="24"/>
              </w:rPr>
            </w:pPr>
            <w:r>
              <w:rPr>
                <w:rFonts w:hint="eastAsia" w:ascii="宋体" w:hAnsi="宋体"/>
                <w:sz w:val="24"/>
              </w:rPr>
              <w:t>20分</w:t>
            </w:r>
          </w:p>
        </w:tc>
        <w:tc>
          <w:tcPr>
            <w:tcW w:w="3434" w:type="pct"/>
            <w:vAlign w:val="center"/>
          </w:tcPr>
          <w:p>
            <w:pPr>
              <w:widowControl/>
              <w:spacing w:line="360" w:lineRule="auto"/>
              <w:rPr>
                <w:rFonts w:ascii="宋体" w:hAnsi="宋体" w:cs="宋体"/>
                <w:sz w:val="24"/>
              </w:rPr>
            </w:pPr>
            <w:r>
              <w:rPr>
                <w:rFonts w:hint="eastAsia" w:ascii="宋体" w:hAnsi="宋体" w:cs="宋体"/>
                <w:sz w:val="24"/>
              </w:rPr>
              <w:t>在满足招标人主要要求的前提下，比较各投标人对技术要求条款响应情况，并结合投标人对技术要求条款偏离情况进行打分。如有标注“▲”号的技术指标低于或不满足招标文件要求，本项不得分。</w:t>
            </w:r>
          </w:p>
          <w:p>
            <w:pPr>
              <w:widowControl/>
              <w:spacing w:line="360" w:lineRule="auto"/>
              <w:rPr>
                <w:rFonts w:ascii="宋体" w:hAnsi="宋体"/>
                <w:sz w:val="24"/>
              </w:rPr>
            </w:pPr>
            <w:r>
              <w:rPr>
                <w:rFonts w:hint="eastAsia" w:ascii="宋体" w:hAnsi="宋体" w:cs="宋体"/>
                <w:sz w:val="24"/>
              </w:rPr>
              <w:t>最好，得13分-20分（含）；一般，得6分-13分（含）；较差0分（含）-6分（含）。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7" w:hRule="atLeast"/>
          <w:jc w:val="center"/>
        </w:trPr>
        <w:tc>
          <w:tcPr>
            <w:tcW w:w="1012" w:type="pct"/>
          </w:tcPr>
          <w:p>
            <w:pPr>
              <w:spacing w:line="360" w:lineRule="auto"/>
              <w:jc w:val="left"/>
              <w:rPr>
                <w:rFonts w:ascii="宋体" w:hAnsi="宋体"/>
                <w:snapToGrid w:val="0"/>
                <w:kern w:val="0"/>
                <w:sz w:val="24"/>
              </w:rPr>
            </w:pPr>
            <w:r>
              <w:rPr>
                <w:rFonts w:hint="eastAsia" w:ascii="宋体" w:hAnsi="宋体"/>
                <w:sz w:val="24"/>
              </w:rPr>
              <w:t>2、</w:t>
            </w:r>
            <w:r>
              <w:rPr>
                <w:rFonts w:hint="eastAsia" w:ascii="宋体" w:hAnsi="宋体" w:cs="宋体"/>
                <w:color w:val="000000"/>
                <w:sz w:val="24"/>
              </w:rPr>
              <w:t>实施方案</w:t>
            </w:r>
          </w:p>
        </w:tc>
        <w:tc>
          <w:tcPr>
            <w:tcW w:w="552" w:type="pct"/>
            <w:vAlign w:val="center"/>
          </w:tcPr>
          <w:p>
            <w:pPr>
              <w:spacing w:line="360" w:lineRule="auto"/>
              <w:jc w:val="left"/>
              <w:rPr>
                <w:rFonts w:ascii="宋体" w:hAnsi="宋体"/>
                <w:sz w:val="24"/>
              </w:rPr>
            </w:pPr>
            <w:r>
              <w:rPr>
                <w:rFonts w:hint="eastAsia" w:ascii="宋体" w:hAnsi="宋体"/>
                <w:sz w:val="24"/>
              </w:rPr>
              <w:t>10分</w:t>
            </w:r>
          </w:p>
        </w:tc>
        <w:tc>
          <w:tcPr>
            <w:tcW w:w="3434" w:type="pct"/>
            <w:vAlign w:val="center"/>
          </w:tcPr>
          <w:p>
            <w:pPr>
              <w:spacing w:line="360" w:lineRule="auto"/>
              <w:jc w:val="left"/>
              <w:rPr>
                <w:rFonts w:ascii="宋体" w:hAnsi="宋体" w:cs="宋体"/>
                <w:sz w:val="24"/>
              </w:rPr>
            </w:pPr>
            <w:r>
              <w:rPr>
                <w:rFonts w:hint="eastAsia" w:ascii="宋体" w:hAnsi="宋体" w:cs="宋体"/>
                <w:sz w:val="24"/>
              </w:rPr>
              <w:t>在满足招标人的服务要求及标准的前提下，比较各投标人提交的实施方案的完整性、安全性和专业性，实施团队成员的经验、水平，人员配备及进度保证等。</w:t>
            </w:r>
          </w:p>
          <w:p>
            <w:pPr>
              <w:spacing w:line="360" w:lineRule="auto"/>
              <w:jc w:val="left"/>
              <w:rPr>
                <w:rFonts w:ascii="宋体" w:hAnsi="宋体"/>
                <w:sz w:val="24"/>
                <w:szCs w:val="21"/>
              </w:rPr>
            </w:pPr>
            <w:r>
              <w:rPr>
                <w:rFonts w:hint="eastAsia" w:ascii="宋体" w:hAnsi="宋体" w:cs="宋体"/>
                <w:color w:val="000000"/>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2" w:type="pct"/>
          </w:tcPr>
          <w:p>
            <w:pPr>
              <w:spacing w:line="360" w:lineRule="auto"/>
              <w:jc w:val="left"/>
              <w:rPr>
                <w:rFonts w:ascii="宋体" w:hAnsi="宋体"/>
                <w:sz w:val="24"/>
              </w:rPr>
            </w:pPr>
            <w:r>
              <w:rPr>
                <w:rFonts w:hint="eastAsia" w:ascii="宋体" w:hAnsi="宋体"/>
                <w:sz w:val="24"/>
              </w:rPr>
              <w:t>3、</w:t>
            </w:r>
            <w:r>
              <w:rPr>
                <w:rFonts w:hint="eastAsia" w:ascii="宋体" w:hAnsi="宋体" w:cs="宋体"/>
                <w:color w:val="000000"/>
                <w:sz w:val="24"/>
              </w:rPr>
              <w:t>售后服务及培训</w:t>
            </w:r>
          </w:p>
        </w:tc>
        <w:tc>
          <w:tcPr>
            <w:tcW w:w="552" w:type="pct"/>
            <w:vAlign w:val="center"/>
          </w:tcPr>
          <w:p>
            <w:pPr>
              <w:spacing w:line="360" w:lineRule="auto"/>
              <w:jc w:val="left"/>
              <w:rPr>
                <w:rFonts w:ascii="宋体" w:hAnsi="宋体"/>
                <w:sz w:val="24"/>
              </w:rPr>
            </w:pPr>
            <w:r>
              <w:rPr>
                <w:rFonts w:hint="eastAsia" w:ascii="宋体" w:hAnsi="宋体"/>
                <w:sz w:val="24"/>
              </w:rPr>
              <w:t>10分</w:t>
            </w:r>
          </w:p>
        </w:tc>
        <w:tc>
          <w:tcPr>
            <w:tcW w:w="3434" w:type="pct"/>
            <w:vAlign w:val="center"/>
          </w:tcPr>
          <w:p>
            <w:pPr>
              <w:spacing w:line="360" w:lineRule="auto"/>
              <w:jc w:val="left"/>
              <w:rPr>
                <w:rFonts w:ascii="宋体" w:hAnsi="宋体" w:cs="宋体"/>
                <w:color w:val="000000"/>
                <w:sz w:val="24"/>
              </w:rPr>
            </w:pPr>
            <w:r>
              <w:rPr>
                <w:rFonts w:hint="eastAsia" w:ascii="宋体" w:hAnsi="宋体" w:cs="宋体"/>
                <w:color w:val="000000"/>
                <w:sz w:val="24"/>
              </w:rPr>
              <w:t>在满足招标人服务要求及标准的前提下，比较各投标人提交的售后服务方案和培训计划，内容应包括：服务水平承诺、服务级别、应急预案、技术支持力量等，并结合投标人对服务要求条款偏离情况进行打分。</w:t>
            </w:r>
          </w:p>
          <w:p>
            <w:pPr>
              <w:spacing w:line="360" w:lineRule="auto"/>
              <w:jc w:val="left"/>
              <w:rPr>
                <w:rFonts w:ascii="宋体" w:hAnsi="宋体"/>
                <w:sz w:val="24"/>
                <w:szCs w:val="21"/>
              </w:rPr>
            </w:pPr>
            <w:r>
              <w:rPr>
                <w:rFonts w:hint="eastAsia" w:ascii="宋体" w:hAnsi="宋体" w:cs="宋体"/>
                <w:color w:val="000000"/>
                <w:sz w:val="24"/>
              </w:rPr>
              <w:t>最好，得7分-10分（含）；一般，得3分-7分（含）；较差，得0分（含）-3分（含）。</w:t>
            </w:r>
          </w:p>
        </w:tc>
      </w:tr>
    </w:tbl>
    <w:p>
      <w:pPr>
        <w:pStyle w:val="19"/>
        <w:numPr>
          <w:ilvl w:val="0"/>
          <w:numId w:val="1"/>
        </w:numPr>
        <w:autoSpaceDE w:val="0"/>
        <w:autoSpaceDN w:val="0"/>
        <w:spacing w:line="360" w:lineRule="exact"/>
        <w:jc w:val="left"/>
        <w:rPr>
          <w:rFonts w:ascii="宋体" w:hAnsi="宋体" w:cs="宋体"/>
          <w:sz w:val="24"/>
        </w:rPr>
      </w:pPr>
      <w:r>
        <w:rPr>
          <w:rFonts w:hint="eastAsia" w:ascii="宋体" w:hAnsi="宋体" w:eastAsia="宋体" w:cs="宋体"/>
          <w:b/>
          <w:sz w:val="24"/>
          <w:szCs w:val="24"/>
        </w:rPr>
        <w:t>付款方式</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双方签订合同后的30个工作日内，甲方收到乙方开具的发票，向乙方支付合同总价的30％。</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设备到货后双方在完成软件验收后的30个工作日内，甲方收到乙方开具的发票，甲方向乙方支付合同总价剩余的60％。</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项目验收合格后，甲方收到乙方出具的正式、合法、有效等额发票及总金额10%的银行保函作为质保金后三十个工作日，支付乙方合同总金额的10%款项。</w:t>
      </w: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numPr>
          <w:ilvl w:val="0"/>
          <w:numId w:val="8"/>
        </w:numPr>
        <w:rPr>
          <w:rFonts w:ascii="宋体" w:hAnsi="宋体" w:eastAsia="宋体" w:cs="宋体"/>
        </w:rPr>
      </w:pPr>
      <w:r>
        <w:rPr>
          <w:rFonts w:hint="eastAsia" w:ascii="宋体" w:hAnsi="宋体" w:eastAsia="宋体" w:cs="宋体"/>
        </w:rPr>
        <w:t>货物需求一览表及技术规格</w:t>
      </w: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jc w:val="center"/>
        <w:rPr>
          <w:rFonts w:ascii="宋体" w:hAnsi="宋体" w:cs="宋体"/>
          <w:b/>
          <w:sz w:val="24"/>
        </w:rPr>
      </w:pPr>
      <w:r>
        <w:rPr>
          <w:rFonts w:hint="eastAsia" w:ascii="宋体" w:hAnsi="宋体" w:cs="宋体"/>
          <w:sz w:val="24"/>
        </w:rPr>
        <w:br w:type="page"/>
      </w:r>
      <w:r>
        <w:rPr>
          <w:rFonts w:hint="eastAsia" w:ascii="宋体" w:hAnsi="宋体" w:cs="宋体"/>
          <w:b/>
          <w:sz w:val="24"/>
        </w:rPr>
        <w:t>技术参数与要求</w:t>
      </w:r>
    </w:p>
    <w:p>
      <w:pPr>
        <w:numPr>
          <w:ilvl w:val="0"/>
          <w:numId w:val="9"/>
        </w:numPr>
        <w:spacing w:line="360" w:lineRule="auto"/>
        <w:rPr>
          <w:rFonts w:ascii="宋体" w:hAnsi="宋体" w:cs="宋体"/>
          <w:sz w:val="24"/>
        </w:rPr>
      </w:pPr>
      <w:r>
        <w:rPr>
          <w:rFonts w:hint="eastAsia" w:ascii="宋体" w:hAnsi="宋体" w:cs="宋体"/>
          <w:b/>
          <w:sz w:val="24"/>
        </w:rPr>
        <w:t>项目名称</w:t>
      </w:r>
      <w:r>
        <w:rPr>
          <w:rFonts w:hint="eastAsia" w:ascii="宋体" w:hAnsi="宋体" w:cs="宋体"/>
          <w:sz w:val="24"/>
        </w:rPr>
        <w:t>：</w:t>
      </w:r>
      <w:r>
        <w:rPr>
          <w:rFonts w:hint="eastAsia" w:ascii="宋体" w:hAnsi="宋体"/>
          <w:sz w:val="24"/>
        </w:rPr>
        <w:t>NextGENe二代测序数据处理软件</w:t>
      </w:r>
    </w:p>
    <w:p>
      <w:pPr>
        <w:numPr>
          <w:ilvl w:val="0"/>
          <w:numId w:val="9"/>
        </w:numPr>
        <w:spacing w:line="360" w:lineRule="auto"/>
        <w:rPr>
          <w:rFonts w:ascii="宋体" w:hAnsi="宋体" w:cs="宋体"/>
          <w:sz w:val="24"/>
        </w:rPr>
      </w:pPr>
      <w:r>
        <w:rPr>
          <w:rFonts w:hint="eastAsia" w:ascii="宋体" w:hAnsi="宋体" w:cs="宋体"/>
          <w:b/>
          <w:sz w:val="24"/>
        </w:rPr>
        <w:t>实施地点</w:t>
      </w:r>
      <w:r>
        <w:rPr>
          <w:rFonts w:hint="eastAsia" w:ascii="宋体" w:hAnsi="宋体" w:cs="宋体"/>
          <w:sz w:val="24"/>
        </w:rPr>
        <w:t>：上海市儿童医院</w:t>
      </w:r>
    </w:p>
    <w:p>
      <w:pPr>
        <w:pStyle w:val="20"/>
        <w:spacing w:line="360" w:lineRule="auto"/>
        <w:ind w:firstLine="0" w:firstLineChars="0"/>
        <w:rPr>
          <w:rFonts w:ascii="宋体" w:hAnsi="宋体" w:cs="宋体"/>
          <w:sz w:val="24"/>
        </w:rPr>
      </w:pPr>
      <w:r>
        <w:rPr>
          <w:rFonts w:hint="eastAsia" w:ascii="宋体" w:hAnsi="宋体" w:cs="宋体"/>
          <w:b/>
          <w:bCs/>
          <w:sz w:val="24"/>
          <w:szCs w:val="24"/>
        </w:rPr>
        <w:t>三、</w:t>
      </w:r>
      <w:r>
        <w:rPr>
          <w:rFonts w:hint="eastAsia" w:ascii="宋体" w:hAnsi="宋体" w:cs="宋体"/>
          <w:b/>
          <w:bCs/>
          <w:sz w:val="24"/>
        </w:rPr>
        <w:t>服务时间：</w:t>
      </w:r>
      <w:r>
        <w:rPr>
          <w:rFonts w:hint="eastAsia" w:ascii="宋体" w:hAnsi="宋体" w:cs="宋体"/>
          <w:sz w:val="24"/>
        </w:rPr>
        <w:t>合同签订后6个月</w:t>
      </w:r>
    </w:p>
    <w:p>
      <w:pPr>
        <w:spacing w:line="360" w:lineRule="auto"/>
        <w:rPr>
          <w:rFonts w:ascii="宋体" w:hAnsi="宋体" w:cs="宋体"/>
          <w:b/>
          <w:sz w:val="24"/>
        </w:rPr>
      </w:pPr>
      <w:r>
        <w:rPr>
          <w:rFonts w:hint="eastAsia" w:ascii="宋体" w:hAnsi="宋体" w:cs="宋体"/>
          <w:b/>
          <w:sz w:val="24"/>
        </w:rPr>
        <w:t>四、软件系统技术参数要求</w:t>
      </w:r>
    </w:p>
    <w:p>
      <w:pPr>
        <w:numPr>
          <w:ilvl w:val="0"/>
          <w:numId w:val="10"/>
        </w:numPr>
        <w:spacing w:before="78" w:after="78"/>
        <w:rPr>
          <w:rFonts w:ascii="宋体" w:hAnsi="宋体" w:cs="宋体"/>
          <w:sz w:val="24"/>
          <w:szCs w:val="22"/>
        </w:rPr>
      </w:pPr>
      <w:r>
        <w:rPr>
          <w:rFonts w:hint="eastAsia" w:ascii="宋体" w:hAnsi="宋体" w:cs="宋体"/>
          <w:sz w:val="24"/>
          <w:szCs w:val="22"/>
        </w:rPr>
        <w:t xml:space="preserve">招标内容 </w:t>
      </w:r>
    </w:p>
    <w:p>
      <w:pPr>
        <w:numPr>
          <w:ilvl w:val="1"/>
          <w:numId w:val="10"/>
        </w:numPr>
        <w:spacing w:before="78" w:after="78"/>
        <w:rPr>
          <w:rFonts w:ascii="宋体" w:hAnsi="宋体" w:cs="宋体"/>
          <w:sz w:val="24"/>
          <w:szCs w:val="22"/>
        </w:rPr>
      </w:pPr>
      <w:r>
        <w:rPr>
          <w:rFonts w:hint="eastAsia" w:ascii="宋体" w:hAnsi="宋体" w:cs="宋体"/>
          <w:sz w:val="24"/>
          <w:szCs w:val="22"/>
        </w:rPr>
        <w:t>NextGENe软件主要功能包括：</w:t>
      </w:r>
    </w:p>
    <w:p>
      <w:pPr>
        <w:pStyle w:val="2"/>
        <w:numPr>
          <w:ilvl w:val="0"/>
          <w:numId w:val="11"/>
        </w:numPr>
        <w:rPr>
          <w:rFonts w:ascii="宋体" w:hAnsi="宋体" w:cs="宋体"/>
          <w:sz w:val="24"/>
          <w:szCs w:val="22"/>
        </w:rPr>
      </w:pPr>
      <w:r>
        <w:rPr>
          <w:rFonts w:hint="eastAsia" w:ascii="宋体" w:hAnsi="宋体" w:cs="宋体"/>
          <w:sz w:val="24"/>
          <w:szCs w:val="22"/>
        </w:rPr>
        <w:t xml:space="preserve">支持SNP/Indel变异检测： </w:t>
      </w:r>
    </w:p>
    <w:p>
      <w:pPr>
        <w:pStyle w:val="2"/>
        <w:numPr>
          <w:ilvl w:val="1"/>
          <w:numId w:val="11"/>
        </w:numPr>
        <w:rPr>
          <w:rFonts w:ascii="宋体" w:hAnsi="宋体" w:cs="宋体"/>
          <w:sz w:val="24"/>
          <w:szCs w:val="22"/>
        </w:rPr>
      </w:pPr>
      <w:r>
        <w:rPr>
          <w:rFonts w:hint="eastAsia" w:ascii="宋体" w:hAnsi="宋体" w:cs="宋体"/>
          <w:sz w:val="24"/>
          <w:szCs w:val="22"/>
        </w:rPr>
        <w:t>生殖细胞变异检测</w:t>
      </w:r>
    </w:p>
    <w:p>
      <w:pPr>
        <w:pStyle w:val="2"/>
        <w:numPr>
          <w:ilvl w:val="1"/>
          <w:numId w:val="11"/>
        </w:numPr>
        <w:rPr>
          <w:rFonts w:ascii="宋体" w:hAnsi="宋体" w:cs="宋体"/>
          <w:sz w:val="24"/>
          <w:szCs w:val="22"/>
        </w:rPr>
      </w:pPr>
      <w:r>
        <w:rPr>
          <w:rFonts w:hint="eastAsia" w:ascii="宋体" w:hAnsi="宋体" w:cs="宋体"/>
          <w:sz w:val="24"/>
          <w:szCs w:val="22"/>
        </w:rPr>
        <w:t>体细胞变异检测</w:t>
      </w:r>
    </w:p>
    <w:p>
      <w:pPr>
        <w:pStyle w:val="2"/>
        <w:numPr>
          <w:ilvl w:val="1"/>
          <w:numId w:val="11"/>
        </w:numPr>
        <w:rPr>
          <w:rFonts w:ascii="宋体" w:hAnsi="宋体" w:cs="宋体"/>
          <w:sz w:val="24"/>
          <w:szCs w:val="22"/>
        </w:rPr>
      </w:pPr>
      <w:r>
        <w:rPr>
          <w:rFonts w:hint="eastAsia" w:ascii="宋体" w:hAnsi="宋体" w:cs="宋体"/>
          <w:sz w:val="24"/>
          <w:szCs w:val="22"/>
        </w:rPr>
        <w:t>外显子组捕获测序、全外显子组测序 (WES)变异检测</w:t>
      </w:r>
    </w:p>
    <w:p>
      <w:pPr>
        <w:pStyle w:val="2"/>
        <w:numPr>
          <w:ilvl w:val="1"/>
          <w:numId w:val="11"/>
        </w:numPr>
        <w:rPr>
          <w:rFonts w:ascii="宋体" w:hAnsi="宋体" w:cs="宋体"/>
          <w:sz w:val="24"/>
          <w:szCs w:val="22"/>
        </w:rPr>
      </w:pPr>
      <w:r>
        <w:rPr>
          <w:rFonts w:hint="eastAsia" w:ascii="宋体" w:hAnsi="宋体" w:cs="宋体"/>
          <w:sz w:val="24"/>
          <w:szCs w:val="22"/>
        </w:rPr>
        <w:t>全基因组测序（WGS）变异检测</w:t>
      </w:r>
    </w:p>
    <w:p>
      <w:pPr>
        <w:pStyle w:val="2"/>
        <w:numPr>
          <w:ilvl w:val="0"/>
          <w:numId w:val="12"/>
        </w:numPr>
        <w:rPr>
          <w:rFonts w:ascii="宋体" w:hAnsi="宋体" w:cs="宋体"/>
          <w:sz w:val="24"/>
          <w:szCs w:val="22"/>
        </w:rPr>
      </w:pPr>
      <w:r>
        <w:rPr>
          <w:rFonts w:hint="eastAsia" w:ascii="宋体" w:hAnsi="宋体" w:cs="宋体"/>
          <w:sz w:val="24"/>
          <w:szCs w:val="22"/>
        </w:rPr>
        <w:t>支持结构变异分析（包括融合基因检测）：软件可以同时将读数与基因组和转录组参考对齐。RNA 样本的读数可以更轻松地跨外显子连接对齐，从而提高断点检测的灵敏度。软件可以分析来自仪器制造商（例如 Illumina®）的下一代测序读数，以检测SV。软件还包含用于轻松分析基因融合样本的模板。</w:t>
      </w:r>
    </w:p>
    <w:p>
      <w:pPr>
        <w:pStyle w:val="2"/>
        <w:numPr>
          <w:ilvl w:val="0"/>
          <w:numId w:val="12"/>
        </w:numPr>
        <w:rPr>
          <w:rFonts w:ascii="宋体" w:hAnsi="宋体" w:cs="宋体"/>
          <w:sz w:val="24"/>
          <w:szCs w:val="22"/>
        </w:rPr>
      </w:pPr>
      <w:r>
        <w:rPr>
          <w:rFonts w:hint="eastAsia" w:ascii="宋体" w:hAnsi="宋体" w:cs="宋体"/>
          <w:sz w:val="24"/>
          <w:szCs w:val="22"/>
        </w:rPr>
        <w:t>支持基于家族/三联体的比较</w:t>
      </w:r>
    </w:p>
    <w:p>
      <w:pPr>
        <w:pStyle w:val="2"/>
        <w:numPr>
          <w:ilvl w:val="0"/>
          <w:numId w:val="12"/>
        </w:numPr>
        <w:rPr>
          <w:rFonts w:ascii="宋体" w:hAnsi="宋体" w:cs="宋体"/>
          <w:sz w:val="24"/>
          <w:szCs w:val="22"/>
        </w:rPr>
      </w:pPr>
      <w:r>
        <w:rPr>
          <w:rFonts w:hint="eastAsia" w:ascii="宋体" w:hAnsi="宋体" w:cs="宋体"/>
          <w:sz w:val="24"/>
          <w:szCs w:val="22"/>
        </w:rPr>
        <w:t>支持肿瘤与正常比较</w:t>
      </w:r>
    </w:p>
    <w:p>
      <w:pPr>
        <w:pStyle w:val="2"/>
        <w:numPr>
          <w:ilvl w:val="0"/>
          <w:numId w:val="12"/>
        </w:numPr>
        <w:rPr>
          <w:rFonts w:ascii="宋体" w:hAnsi="宋体" w:cs="宋体"/>
          <w:sz w:val="24"/>
          <w:szCs w:val="22"/>
        </w:rPr>
      </w:pPr>
      <w:r>
        <w:rPr>
          <w:rFonts w:hint="eastAsia" w:ascii="宋体" w:hAnsi="宋体" w:cs="宋体"/>
          <w:sz w:val="24"/>
          <w:szCs w:val="22"/>
        </w:rPr>
        <w:t>支持CNV检测</w:t>
      </w:r>
    </w:p>
    <w:p>
      <w:pPr>
        <w:pStyle w:val="2"/>
        <w:numPr>
          <w:ilvl w:val="0"/>
          <w:numId w:val="12"/>
        </w:numPr>
        <w:rPr>
          <w:rFonts w:ascii="宋体" w:hAnsi="宋体" w:cs="宋体"/>
          <w:sz w:val="24"/>
          <w:szCs w:val="22"/>
        </w:rPr>
      </w:pPr>
      <w:r>
        <w:rPr>
          <w:rFonts w:hint="eastAsia" w:ascii="宋体" w:hAnsi="宋体" w:cs="宋体"/>
          <w:sz w:val="24"/>
          <w:szCs w:val="22"/>
        </w:rPr>
        <w:t>支持De Novo组装</w:t>
      </w:r>
    </w:p>
    <w:p>
      <w:pPr>
        <w:pStyle w:val="2"/>
        <w:numPr>
          <w:ilvl w:val="0"/>
          <w:numId w:val="12"/>
        </w:numPr>
        <w:rPr>
          <w:rFonts w:ascii="宋体" w:hAnsi="宋体" w:cs="宋体"/>
          <w:sz w:val="24"/>
          <w:szCs w:val="22"/>
        </w:rPr>
      </w:pPr>
      <w:r>
        <w:rPr>
          <w:rFonts w:hint="eastAsia" w:ascii="宋体" w:hAnsi="宋体" w:cs="宋体"/>
          <w:sz w:val="24"/>
          <w:szCs w:val="22"/>
        </w:rPr>
        <w:t>支持对来自Illumina® iSeq、Miniseq、MiSeq、NextSeq、HiSeq和NovaSeq系统、Ion Torrent Ion GeneStudio S5、PGM和Proton系统以及其他平台的转录组/RNA-Seq测序数据分析；支持可变剪接分析和转录表达水平分析</w:t>
      </w:r>
    </w:p>
    <w:p>
      <w:pPr>
        <w:pStyle w:val="2"/>
        <w:numPr>
          <w:ilvl w:val="0"/>
          <w:numId w:val="12"/>
        </w:numPr>
        <w:rPr>
          <w:rFonts w:ascii="宋体" w:hAnsi="宋体" w:cs="宋体"/>
          <w:sz w:val="24"/>
          <w:szCs w:val="22"/>
        </w:rPr>
      </w:pPr>
      <w:r>
        <w:rPr>
          <w:rFonts w:hint="eastAsia" w:ascii="宋体" w:hAnsi="宋体" w:cs="宋体"/>
          <w:sz w:val="24"/>
          <w:szCs w:val="22"/>
        </w:rPr>
        <w:t>支持来自来自Illumina® iSeq、Miniseq、MiSeq、NextSeq、HiSeq和NovaSeq系统、Ion Torrent Ion GeneStudio S5、PGM和Proton系统以及其他平台的ChIP-Seq、DGE、miRNA 数据分析</w:t>
      </w:r>
    </w:p>
    <w:p>
      <w:pPr>
        <w:pStyle w:val="2"/>
        <w:numPr>
          <w:ilvl w:val="1"/>
          <w:numId w:val="10"/>
        </w:numPr>
        <w:rPr>
          <w:rFonts w:ascii="宋体" w:hAnsi="宋体" w:cs="宋体"/>
          <w:sz w:val="24"/>
          <w:szCs w:val="22"/>
        </w:rPr>
      </w:pPr>
      <w:r>
        <w:rPr>
          <w:rFonts w:hint="eastAsia" w:ascii="宋体" w:hAnsi="宋体" w:cs="宋体"/>
          <w:sz w:val="24"/>
          <w:szCs w:val="22"/>
        </w:rPr>
        <w:t>软件为商业软件，非开源软件。</w:t>
      </w:r>
    </w:p>
    <w:p>
      <w:pPr>
        <w:pStyle w:val="2"/>
        <w:numPr>
          <w:ilvl w:val="1"/>
          <w:numId w:val="10"/>
        </w:numPr>
        <w:rPr>
          <w:rFonts w:ascii="宋体" w:hAnsi="宋体" w:cs="宋体"/>
          <w:sz w:val="24"/>
          <w:szCs w:val="22"/>
        </w:rPr>
      </w:pPr>
      <w:r>
        <w:rPr>
          <w:rFonts w:hint="eastAsia" w:ascii="宋体" w:hAnsi="宋体" w:cs="宋体"/>
          <w:sz w:val="24"/>
          <w:szCs w:val="22"/>
        </w:rPr>
        <w:t>License：用户数1个，限制同时登陆使用。</w:t>
      </w:r>
    </w:p>
    <w:p>
      <w:pPr>
        <w:pStyle w:val="2"/>
        <w:numPr>
          <w:ilvl w:val="1"/>
          <w:numId w:val="10"/>
        </w:numPr>
        <w:rPr>
          <w:rFonts w:ascii="宋体" w:hAnsi="宋体" w:cs="宋体"/>
          <w:sz w:val="24"/>
          <w:szCs w:val="22"/>
        </w:rPr>
      </w:pPr>
      <w:r>
        <w:rPr>
          <w:rFonts w:hint="eastAsia" w:ascii="宋体" w:hAnsi="宋体" w:cs="宋体"/>
          <w:sz w:val="24"/>
          <w:szCs w:val="22"/>
        </w:rPr>
        <w:t>服务：提供1年使用期限内的原厂或代理商技术支持服务。</w:t>
      </w:r>
    </w:p>
    <w:p>
      <w:pPr>
        <w:pStyle w:val="3"/>
        <w:keepLines w:val="0"/>
        <w:widowControl/>
        <w:tabs>
          <w:tab w:val="left" w:pos="426"/>
        </w:tabs>
        <w:overflowPunct w:val="0"/>
        <w:autoSpaceDE w:val="0"/>
        <w:autoSpaceDN w:val="0"/>
        <w:adjustRightInd w:val="0"/>
        <w:spacing w:before="0" w:after="0" w:line="360" w:lineRule="auto"/>
        <w:jc w:val="left"/>
        <w:textAlignment w:val="baseline"/>
        <w:rPr>
          <w:rFonts w:ascii="宋体" w:hAnsi="宋体" w:cs="宋体"/>
          <w:sz w:val="24"/>
          <w:szCs w:val="24"/>
        </w:rPr>
      </w:pPr>
      <w:r>
        <w:rPr>
          <w:rFonts w:hint="eastAsia" w:ascii="宋体" w:hAnsi="宋体" w:cs="宋体"/>
          <w:sz w:val="24"/>
          <w:szCs w:val="24"/>
        </w:rPr>
        <w:t>五、实施、验收与售后服务要求</w:t>
      </w:r>
    </w:p>
    <w:p>
      <w:pPr>
        <w:pStyle w:val="20"/>
        <w:numPr>
          <w:ilvl w:val="0"/>
          <w:numId w:val="13"/>
        </w:numPr>
        <w:spacing w:line="360" w:lineRule="auto"/>
        <w:ind w:firstLineChars="0"/>
        <w:rPr>
          <w:rFonts w:ascii="宋体" w:hAnsi="宋体" w:cs="宋体"/>
          <w:sz w:val="24"/>
          <w:szCs w:val="24"/>
        </w:rPr>
      </w:pPr>
      <w:r>
        <w:rPr>
          <w:rFonts w:hint="eastAsia" w:ascii="宋体" w:hAnsi="宋体" w:cs="宋体"/>
          <w:sz w:val="24"/>
          <w:szCs w:val="24"/>
        </w:rPr>
        <w:t>总体要求</w:t>
      </w:r>
    </w:p>
    <w:p>
      <w:pPr>
        <w:pStyle w:val="20"/>
        <w:numPr>
          <w:ilvl w:val="1"/>
          <w:numId w:val="13"/>
        </w:numPr>
        <w:spacing w:line="360" w:lineRule="auto"/>
        <w:ind w:firstLineChars="0"/>
        <w:rPr>
          <w:rFonts w:ascii="宋体" w:hAnsi="宋体" w:cs="宋体"/>
          <w:sz w:val="24"/>
          <w:szCs w:val="24"/>
        </w:rPr>
      </w:pPr>
      <w:r>
        <w:rPr>
          <w:rFonts w:hint="eastAsia" w:ascii="宋体" w:hAnsi="宋体" w:cs="宋体"/>
          <w:sz w:val="24"/>
          <w:szCs w:val="24"/>
        </w:rPr>
        <w:t>投标人应本着认真负责态度，组织技术队伍，认真做好项目的实施工作。在签订合同前，提出具体实施、服务、维护以及今后技术支持的措施计划和承诺。</w:t>
      </w:r>
    </w:p>
    <w:p>
      <w:pPr>
        <w:pStyle w:val="20"/>
        <w:numPr>
          <w:ilvl w:val="1"/>
          <w:numId w:val="13"/>
        </w:numPr>
        <w:spacing w:line="360" w:lineRule="auto"/>
        <w:ind w:firstLineChars="0"/>
        <w:rPr>
          <w:rFonts w:ascii="宋体" w:hAnsi="宋体" w:cs="宋体"/>
          <w:sz w:val="24"/>
          <w:szCs w:val="24"/>
        </w:rPr>
      </w:pPr>
      <w:r>
        <w:rPr>
          <w:rFonts w:hint="eastAsia" w:ascii="宋体" w:hAnsi="宋体" w:cs="宋体"/>
          <w:sz w:val="24"/>
          <w:szCs w:val="24"/>
        </w:rPr>
        <w:t>投标人必须提供项目实施计划，经用户方同意后，严格执行。如果遇到问题，由项目组提出项目变更说明，经医院和系统提供商确定后，修改计划。</w:t>
      </w:r>
    </w:p>
    <w:p>
      <w:pPr>
        <w:pStyle w:val="20"/>
        <w:numPr>
          <w:ilvl w:val="1"/>
          <w:numId w:val="13"/>
        </w:numPr>
        <w:spacing w:line="360" w:lineRule="auto"/>
        <w:ind w:firstLineChars="0"/>
        <w:rPr>
          <w:rFonts w:ascii="宋体" w:hAnsi="宋体" w:cs="宋体"/>
          <w:sz w:val="24"/>
          <w:szCs w:val="24"/>
        </w:rPr>
      </w:pPr>
      <w:r>
        <w:rPr>
          <w:rFonts w:hint="eastAsia" w:ascii="宋体" w:hAnsi="宋体" w:cs="宋体"/>
          <w:sz w:val="24"/>
          <w:szCs w:val="24"/>
        </w:rPr>
        <w:t>投标人应负责在项目验收时将系统的全部有关技术文件、资料、及安装、测试、验收报告等文档汇集成册交付用户方。</w:t>
      </w:r>
    </w:p>
    <w:p>
      <w:pPr>
        <w:pStyle w:val="20"/>
        <w:numPr>
          <w:ilvl w:val="1"/>
          <w:numId w:val="13"/>
        </w:numPr>
        <w:spacing w:line="360" w:lineRule="auto"/>
        <w:ind w:firstLineChars="0"/>
        <w:rPr>
          <w:rFonts w:ascii="宋体" w:hAnsi="宋体" w:cs="宋体"/>
          <w:sz w:val="24"/>
          <w:szCs w:val="24"/>
        </w:rPr>
      </w:pPr>
      <w:r>
        <w:rPr>
          <w:rFonts w:hint="eastAsia" w:ascii="宋体" w:hAnsi="宋体" w:cs="宋体"/>
          <w:sz w:val="24"/>
          <w:szCs w:val="24"/>
        </w:rPr>
        <w:t>结合医院实际情况，拟定详细的系统实施计划，包括同医院现有信息系统的对接、个性化定制、测试、试运行、培训及上线计划。承诺保证在合同规定时间内上线及上线后系统平稳运行。</w:t>
      </w:r>
    </w:p>
    <w:p>
      <w:pPr>
        <w:pStyle w:val="20"/>
        <w:numPr>
          <w:ilvl w:val="0"/>
          <w:numId w:val="13"/>
        </w:numPr>
        <w:spacing w:line="360" w:lineRule="auto"/>
        <w:ind w:firstLineChars="0"/>
        <w:rPr>
          <w:rFonts w:ascii="宋体" w:hAnsi="宋体" w:cs="宋体"/>
          <w:sz w:val="24"/>
          <w:szCs w:val="24"/>
        </w:rPr>
      </w:pPr>
      <w:r>
        <w:rPr>
          <w:rFonts w:hint="eastAsia" w:ascii="宋体" w:hAnsi="宋体" w:cs="宋体"/>
          <w:sz w:val="24"/>
          <w:szCs w:val="24"/>
        </w:rPr>
        <w:t>人员培训：投标人应负责使用人员的培训及考核。并在项目实施后继续按照医院要求继续定期培训和考核。培训对象包括信息科系统管理员、日常维护人员、技术层面人员（包括系统开发、程序版本控制、数据库维护）</w:t>
      </w:r>
      <w:r>
        <w:rPr>
          <w:rFonts w:hint="eastAsia" w:ascii="宋体" w:hAnsi="宋体" w:cs="宋体"/>
          <w:b/>
          <w:color w:val="00B0F0"/>
          <w:sz w:val="24"/>
          <w:szCs w:val="24"/>
        </w:rPr>
        <w:t>、</w:t>
      </w:r>
      <w:r>
        <w:rPr>
          <w:rFonts w:hint="eastAsia" w:ascii="宋体" w:hAnsi="宋体" w:cs="宋体"/>
          <w:sz w:val="24"/>
          <w:szCs w:val="24"/>
        </w:rPr>
        <w:t>非信息科的医院管理人员、操作员。系统管理人员培训内容为系统中涉及的相关技术内容；管理人员培训内容为系统流程和相关管理思想；操作员为系统的操作培训。</w:t>
      </w:r>
    </w:p>
    <w:p>
      <w:pPr>
        <w:pStyle w:val="20"/>
        <w:numPr>
          <w:ilvl w:val="0"/>
          <w:numId w:val="13"/>
        </w:numPr>
        <w:spacing w:line="360" w:lineRule="auto"/>
        <w:ind w:firstLineChars="0"/>
        <w:rPr>
          <w:rFonts w:ascii="宋体" w:hAnsi="宋体" w:cs="宋体"/>
          <w:sz w:val="24"/>
          <w:szCs w:val="24"/>
        </w:rPr>
      </w:pPr>
      <w:r>
        <w:rPr>
          <w:rFonts w:hint="eastAsia" w:ascii="宋体" w:hAnsi="宋体" w:cs="宋体"/>
          <w:sz w:val="24"/>
          <w:szCs w:val="24"/>
        </w:rPr>
        <w:t>对实施人员的要求</w:t>
      </w:r>
    </w:p>
    <w:p>
      <w:pPr>
        <w:pStyle w:val="20"/>
        <w:numPr>
          <w:ilvl w:val="1"/>
          <w:numId w:val="13"/>
        </w:numPr>
        <w:spacing w:line="360" w:lineRule="auto"/>
        <w:ind w:firstLineChars="0"/>
        <w:rPr>
          <w:rFonts w:ascii="宋体" w:hAnsi="宋体" w:cs="宋体"/>
          <w:sz w:val="24"/>
          <w:szCs w:val="24"/>
        </w:rPr>
      </w:pPr>
      <w:r>
        <w:rPr>
          <w:rFonts w:hint="eastAsia" w:ascii="宋体" w:hAnsi="宋体" w:cs="宋体"/>
          <w:sz w:val="24"/>
          <w:szCs w:val="24"/>
        </w:rPr>
        <w:t>医院有权根据实施情况要求更换项目经理和实施人员。</w:t>
      </w:r>
    </w:p>
    <w:p>
      <w:pPr>
        <w:pStyle w:val="20"/>
        <w:numPr>
          <w:ilvl w:val="1"/>
          <w:numId w:val="13"/>
        </w:numPr>
        <w:spacing w:line="360" w:lineRule="auto"/>
        <w:ind w:firstLineChars="0"/>
        <w:rPr>
          <w:rFonts w:ascii="宋体" w:hAnsi="宋体" w:cs="宋体"/>
          <w:sz w:val="24"/>
          <w:szCs w:val="24"/>
        </w:rPr>
      </w:pPr>
      <w:r>
        <w:rPr>
          <w:rFonts w:hint="eastAsia" w:ascii="宋体" w:hAnsi="宋体" w:cs="宋体"/>
          <w:sz w:val="24"/>
          <w:szCs w:val="24"/>
        </w:rPr>
        <w:t>对投标人项目经理等级基本要求：要求投标人针对本项目成立项目小组，在投标文件中提供书面名单，人员一旦得到医院确认，无特殊理由不得随意变动，其中项目经理必须具有项目管理资质并有三级甲等综合性医院的信息系统实施经验，且项目经理未得到医院同意的情况下不得随意更换。</w:t>
      </w:r>
    </w:p>
    <w:p>
      <w:pPr>
        <w:pStyle w:val="20"/>
        <w:numPr>
          <w:ilvl w:val="0"/>
          <w:numId w:val="13"/>
        </w:numPr>
        <w:spacing w:line="360" w:lineRule="auto"/>
        <w:ind w:firstLineChars="0"/>
        <w:rPr>
          <w:rFonts w:ascii="宋体" w:hAnsi="宋体" w:cs="宋体"/>
          <w:sz w:val="24"/>
          <w:szCs w:val="24"/>
        </w:rPr>
      </w:pPr>
      <w:r>
        <w:rPr>
          <w:rFonts w:hint="eastAsia" w:ascii="宋体" w:hAnsi="宋体" w:cs="宋体"/>
          <w:sz w:val="24"/>
          <w:szCs w:val="24"/>
        </w:rPr>
        <w:t>技术文档:系统验收后投标人须提供详细的软件相关技术文档（含数据结构、数据流程图、系统字典说明等）、使用说明书、维护手册等文档资料。提供系统应急方案，提供维护和二次开发所需要的源代码及技术支持工具。文档包括但不限于以下内容：项目计划方案书、用户需求分析、数据库字典、项目概要设计书、安装测试手册、使用手册、验收报告等。</w:t>
      </w:r>
    </w:p>
    <w:p>
      <w:pPr>
        <w:pStyle w:val="20"/>
        <w:numPr>
          <w:ilvl w:val="0"/>
          <w:numId w:val="13"/>
        </w:numPr>
        <w:spacing w:line="360" w:lineRule="auto"/>
        <w:ind w:firstLineChars="0"/>
        <w:rPr>
          <w:rFonts w:ascii="宋体" w:hAnsi="宋体" w:cs="宋体"/>
          <w:sz w:val="24"/>
          <w:szCs w:val="24"/>
        </w:rPr>
      </w:pPr>
      <w:r>
        <w:rPr>
          <w:rFonts w:hint="eastAsia" w:ascii="宋体" w:hAnsi="宋体" w:cs="宋体"/>
          <w:sz w:val="24"/>
          <w:szCs w:val="24"/>
        </w:rPr>
        <w:t>系统维护、售后服务</w:t>
      </w:r>
    </w:p>
    <w:p>
      <w:pPr>
        <w:spacing w:line="360" w:lineRule="auto"/>
        <w:ind w:firstLine="480" w:firstLineChars="200"/>
        <w:rPr>
          <w:rFonts w:ascii="宋体" w:hAnsi="宋体" w:cs="宋体"/>
          <w:sz w:val="24"/>
        </w:rPr>
      </w:pPr>
      <w:r>
        <w:rPr>
          <w:rFonts w:hint="eastAsia" w:ascii="宋体" w:hAnsi="宋体" w:cs="宋体"/>
          <w:sz w:val="24"/>
        </w:rPr>
        <w:t>免费维护期：本项目验收合格后，投标人必须提供至少一年的免费功能增强性维护和软件升级、免费技术维护服务，其中包括系统维护、跟踪检测，保证投标人所投软件的正常运行。质保期内，供应商需保证提供如下售后服务：响应方式包括5*8小时电话、在线网络通信以及远程协助等方式为主，为医院科室成本核算操作用户在日常操作中遇到的业务问题、技术问题进行解答、指导；如遇特殊情况，可应甲方要求，提供现场服务。报修确认后60分钟内响应，2个工作日内出解决方案。</w:t>
      </w:r>
    </w:p>
    <w:p>
      <w:pPr>
        <w:pStyle w:val="20"/>
        <w:numPr>
          <w:ilvl w:val="1"/>
          <w:numId w:val="13"/>
        </w:numPr>
        <w:spacing w:line="360" w:lineRule="auto"/>
        <w:ind w:firstLineChars="0"/>
        <w:rPr>
          <w:rFonts w:ascii="宋体" w:hAnsi="宋体" w:cs="宋体"/>
          <w:sz w:val="24"/>
          <w:szCs w:val="24"/>
        </w:rPr>
      </w:pPr>
      <w:r>
        <w:rPr>
          <w:rFonts w:hint="eastAsia" w:ascii="宋体" w:hAnsi="宋体" w:cs="宋体"/>
          <w:sz w:val="24"/>
          <w:szCs w:val="24"/>
        </w:rPr>
        <w:t>售后服务的形式：</w:t>
      </w:r>
    </w:p>
    <w:p>
      <w:pPr>
        <w:pStyle w:val="20"/>
        <w:numPr>
          <w:ilvl w:val="2"/>
          <w:numId w:val="13"/>
        </w:numPr>
        <w:spacing w:line="360" w:lineRule="auto"/>
        <w:ind w:firstLineChars="0"/>
        <w:rPr>
          <w:rFonts w:ascii="宋体" w:hAnsi="宋体" w:cs="宋体"/>
          <w:sz w:val="24"/>
          <w:szCs w:val="24"/>
        </w:rPr>
      </w:pPr>
      <w:r>
        <w:rPr>
          <w:rFonts w:hint="eastAsia" w:ascii="宋体" w:hAnsi="宋体" w:cs="宋体"/>
          <w:sz w:val="24"/>
          <w:szCs w:val="24"/>
        </w:rPr>
        <w:t>远程服务：医院允许投标人在现场人员不能排除故障时，授权通过电话线或VPN方式远程登录到院方网络系统进行免费的故障诊断和故障排除。</w:t>
      </w:r>
    </w:p>
    <w:p>
      <w:pPr>
        <w:pStyle w:val="20"/>
        <w:numPr>
          <w:ilvl w:val="2"/>
          <w:numId w:val="13"/>
        </w:numPr>
        <w:spacing w:line="360" w:lineRule="auto"/>
        <w:ind w:firstLineChars="0"/>
        <w:rPr>
          <w:rFonts w:ascii="宋体" w:hAnsi="宋体" w:cs="宋体"/>
          <w:sz w:val="24"/>
          <w:szCs w:val="24"/>
        </w:rPr>
      </w:pPr>
      <w:r>
        <w:rPr>
          <w:rFonts w:hint="eastAsia" w:ascii="宋体" w:hAnsi="宋体" w:cs="宋体"/>
          <w:sz w:val="24"/>
          <w:szCs w:val="24"/>
        </w:rPr>
        <w:t>政策性维护：今后因国家政策或政府、医院上级部门要求导致的被动性程序修改，投标人应及时提供程序修改服务，并确保系统的在政策要求的时限内正确运行，该费用包含在投标总价内，医院不再另行支付相关费用。</w:t>
      </w:r>
    </w:p>
    <w:p>
      <w:pPr>
        <w:pStyle w:val="20"/>
        <w:numPr>
          <w:ilvl w:val="2"/>
          <w:numId w:val="13"/>
        </w:numPr>
        <w:spacing w:line="360" w:lineRule="auto"/>
        <w:ind w:firstLineChars="0"/>
        <w:rPr>
          <w:rFonts w:ascii="宋体" w:hAnsi="宋体" w:cs="宋体"/>
          <w:sz w:val="24"/>
          <w:szCs w:val="24"/>
        </w:rPr>
      </w:pPr>
      <w:r>
        <w:rPr>
          <w:rFonts w:hint="eastAsia" w:ascii="宋体" w:hAnsi="宋体" w:cs="宋体"/>
          <w:sz w:val="24"/>
          <w:szCs w:val="24"/>
        </w:rPr>
        <w:t>其他售后服务承诺：在系统实施及保修期内，院方提出对软件更改的要求，投标人应予以满足。</w:t>
      </w:r>
    </w:p>
    <w:p>
      <w:pPr>
        <w:pStyle w:val="20"/>
        <w:numPr>
          <w:ilvl w:val="2"/>
          <w:numId w:val="13"/>
        </w:numPr>
        <w:spacing w:line="360" w:lineRule="auto"/>
        <w:ind w:firstLineChars="0"/>
        <w:rPr>
          <w:rFonts w:ascii="宋体" w:hAnsi="宋体" w:cs="宋体"/>
          <w:sz w:val="24"/>
          <w:szCs w:val="24"/>
        </w:rPr>
      </w:pPr>
      <w:r>
        <w:rPr>
          <w:rFonts w:hint="eastAsia" w:ascii="宋体" w:hAnsi="宋体" w:cs="宋体"/>
          <w:sz w:val="24"/>
          <w:szCs w:val="24"/>
        </w:rPr>
        <w:t>投标人须承诺除完成本项目所规定的应用信息系统建设内容外，还须配合医院对其他信息化建设中的问题进行技术配合，对于接口开发以及医院建设中涉及的信息系统技术问题，投标人须做无推诿承诺。</w:t>
      </w:r>
    </w:p>
    <w:p>
      <w:pPr>
        <w:pStyle w:val="20"/>
        <w:numPr>
          <w:ilvl w:val="0"/>
          <w:numId w:val="13"/>
        </w:numPr>
        <w:spacing w:line="360" w:lineRule="auto"/>
        <w:ind w:firstLineChars="0"/>
        <w:rPr>
          <w:rFonts w:ascii="宋体" w:hAnsi="宋体" w:cs="宋体"/>
          <w:sz w:val="24"/>
          <w:szCs w:val="24"/>
        </w:rPr>
      </w:pPr>
      <w:r>
        <w:rPr>
          <w:rFonts w:hint="eastAsia" w:ascii="宋体" w:hAnsi="宋体" w:cs="宋体"/>
          <w:sz w:val="24"/>
          <w:szCs w:val="24"/>
        </w:rPr>
        <w:t>项目验收</w:t>
      </w:r>
    </w:p>
    <w:p>
      <w:pPr>
        <w:spacing w:line="360" w:lineRule="auto"/>
        <w:ind w:firstLine="480" w:firstLineChars="200"/>
        <w:rPr>
          <w:rFonts w:ascii="宋体" w:hAnsi="宋体" w:cs="宋体"/>
          <w:sz w:val="24"/>
        </w:rPr>
      </w:pPr>
      <w:r>
        <w:rPr>
          <w:rFonts w:hint="eastAsia" w:ascii="宋体" w:hAnsi="宋体" w:cs="宋体"/>
          <w:sz w:val="24"/>
        </w:rPr>
        <w:t>系统验收合格的条件至少满足以下三个要求：试运行时性能满足合同要求；性能测试和试运行验收时出现的问题已被解决；已提供了合同的全部货物和资料。</w:t>
      </w:r>
    </w:p>
    <w:p>
      <w:pPr>
        <w:spacing w:before="78" w:after="78"/>
        <w:ind w:firstLine="480"/>
      </w:pPr>
    </w:p>
    <w:p>
      <w:pPr>
        <w:pStyle w:val="18"/>
        <w:rPr>
          <w:rFonts w:ascii="宋体" w:hAnsi="宋体" w:eastAsia="宋体" w:cs="宋体"/>
          <w:sz w:val="24"/>
          <w:szCs w:val="24"/>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numPr>
          <w:ilvl w:val="0"/>
          <w:numId w:val="8"/>
        </w:numPr>
        <w:rPr>
          <w:rFonts w:ascii="宋体" w:hAnsi="宋体" w:eastAsia="宋体" w:cs="宋体"/>
        </w:rPr>
      </w:pPr>
      <w:r>
        <w:rPr>
          <w:rFonts w:hint="eastAsia" w:ascii="宋体" w:hAnsi="宋体" w:eastAsia="宋体" w:cs="宋体"/>
        </w:rPr>
        <w:t>附件</w:t>
      </w: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jc w:val="left"/>
        <w:rPr>
          <w:rFonts w:ascii="宋体" w:hAnsi="宋体" w:cs="宋体"/>
          <w:sz w:val="24"/>
        </w:rPr>
      </w:pPr>
      <w:r>
        <w:rPr>
          <w:rFonts w:hint="eastAsia" w:ascii="宋体" w:hAnsi="宋体" w:cs="宋体"/>
          <w:sz w:val="24"/>
        </w:rPr>
        <w:br w:type="page"/>
      </w: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ascii="宋体"/>
          <w:sz w:val="24"/>
        </w:rPr>
        <w:t>:</w:t>
      </w:r>
      <w:r>
        <w:t xml:space="preserve"> </w:t>
      </w:r>
      <w:r>
        <w:rPr>
          <w:rFonts w:ascii="宋体"/>
          <w:sz w:val="24"/>
          <w:u w:val="single"/>
        </w:rPr>
        <w:t>202</w:t>
      </w:r>
      <w:r>
        <w:rPr>
          <w:rFonts w:hint="eastAsia" w:ascii="宋体"/>
          <w:sz w:val="24"/>
          <w:u w:val="single"/>
        </w:rPr>
        <w:t>2</w:t>
      </w:r>
      <w:r>
        <w:rPr>
          <w:rFonts w:ascii="宋体"/>
          <w:sz w:val="24"/>
          <w:u w:val="single"/>
        </w:rPr>
        <w:t>-ETLX</w:t>
      </w:r>
      <w:r>
        <w:rPr>
          <w:rFonts w:hint="eastAsia" w:ascii="宋体"/>
          <w:sz w:val="24"/>
          <w:u w:val="single"/>
        </w:rPr>
        <w:t>XB</w:t>
      </w:r>
      <w:r>
        <w:rPr>
          <w:rFonts w:ascii="宋体"/>
          <w:sz w:val="24"/>
          <w:u w:val="single"/>
        </w:rPr>
        <w:t>-0</w:t>
      </w:r>
      <w:r>
        <w:rPr>
          <w:rFonts w:hint="eastAsia" w:ascii="宋体"/>
          <w:sz w:val="24"/>
          <w:u w:val="single"/>
        </w:rPr>
        <w:t>03</w:t>
      </w:r>
    </w:p>
    <w:p>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NextGENe二代测序数据处理软件</w:t>
      </w:r>
    </w:p>
    <w:p>
      <w:pPr>
        <w:spacing w:line="360" w:lineRule="auto"/>
        <w:ind w:firstLine="360" w:firstLineChars="150"/>
        <w:rPr>
          <w:rFonts w:ascii="宋体"/>
          <w:sz w:val="24"/>
        </w:rPr>
      </w:pPr>
      <w:r>
        <w:rPr>
          <w:rFonts w:hint="eastAsia" w:ascii="宋体"/>
          <w:sz w:val="24"/>
        </w:rPr>
        <w:t>报价明细：</w:t>
      </w:r>
    </w:p>
    <w:p>
      <w:pPr>
        <w:pStyle w:val="11"/>
        <w:ind w:left="0" w:firstLine="0"/>
      </w:pPr>
    </w:p>
    <w:tbl>
      <w:tblPr>
        <w:tblStyle w:val="12"/>
        <w:tblpPr w:leftFromText="180" w:rightFromText="180" w:vertAnchor="text" w:horzAnchor="page" w:tblpX="1185" w:tblpY="328"/>
        <w:tblOverlap w:val="never"/>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839"/>
        <w:gridCol w:w="1803"/>
        <w:gridCol w:w="1465"/>
        <w:gridCol w:w="2123"/>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76" w:type="dxa"/>
            <w:vAlign w:val="center"/>
          </w:tcPr>
          <w:p>
            <w:pPr>
              <w:spacing w:after="120"/>
              <w:jc w:val="center"/>
              <w:rPr>
                <w:rFonts w:ascii="宋体" w:hAnsi="Calibri"/>
                <w:sz w:val="24"/>
              </w:rPr>
            </w:pPr>
            <w:r>
              <w:rPr>
                <w:rFonts w:hint="eastAsia" w:ascii="宋体" w:hAnsi="Calibri"/>
                <w:sz w:val="24"/>
              </w:rPr>
              <w:t>序号</w:t>
            </w:r>
          </w:p>
        </w:tc>
        <w:tc>
          <w:tcPr>
            <w:tcW w:w="1839" w:type="dxa"/>
            <w:vAlign w:val="center"/>
          </w:tcPr>
          <w:p>
            <w:pPr>
              <w:spacing w:after="120"/>
              <w:jc w:val="center"/>
              <w:rPr>
                <w:rFonts w:ascii="宋体" w:hAnsi="Calibri"/>
                <w:sz w:val="24"/>
              </w:rPr>
            </w:pPr>
            <w:r>
              <w:rPr>
                <w:rFonts w:hint="eastAsia" w:ascii="宋体" w:hAnsi="Calibri"/>
                <w:sz w:val="24"/>
              </w:rPr>
              <w:t>服务内容</w:t>
            </w:r>
          </w:p>
        </w:tc>
        <w:tc>
          <w:tcPr>
            <w:tcW w:w="1803" w:type="dxa"/>
            <w:vAlign w:val="center"/>
          </w:tcPr>
          <w:p>
            <w:pPr>
              <w:spacing w:after="120"/>
              <w:jc w:val="center"/>
              <w:rPr>
                <w:rFonts w:ascii="宋体" w:hAnsi="Calibri"/>
                <w:sz w:val="24"/>
              </w:rPr>
            </w:pPr>
            <w:r>
              <w:rPr>
                <w:rFonts w:hint="eastAsia" w:ascii="宋体" w:hAnsi="Calibri"/>
                <w:sz w:val="24"/>
              </w:rPr>
              <w:t>服务期限</w:t>
            </w:r>
          </w:p>
        </w:tc>
        <w:tc>
          <w:tcPr>
            <w:tcW w:w="1465" w:type="dxa"/>
            <w:vAlign w:val="center"/>
          </w:tcPr>
          <w:p>
            <w:pPr>
              <w:spacing w:after="120"/>
              <w:jc w:val="center"/>
              <w:rPr>
                <w:rFonts w:ascii="宋体" w:hAnsi="Calibri"/>
                <w:sz w:val="24"/>
              </w:rPr>
            </w:pPr>
            <w:r>
              <w:rPr>
                <w:rFonts w:hint="eastAsia" w:ascii="宋体" w:hAnsi="Calibri"/>
                <w:sz w:val="24"/>
              </w:rPr>
              <w:t>报价货币</w:t>
            </w:r>
          </w:p>
        </w:tc>
        <w:tc>
          <w:tcPr>
            <w:tcW w:w="2123" w:type="dxa"/>
            <w:vAlign w:val="center"/>
          </w:tcPr>
          <w:p>
            <w:pPr>
              <w:spacing w:after="120"/>
              <w:jc w:val="center"/>
              <w:rPr>
                <w:rFonts w:ascii="宋体" w:hAnsi="Calibri"/>
                <w:sz w:val="24"/>
              </w:rPr>
            </w:pPr>
            <w:r>
              <w:rPr>
                <w:rFonts w:hint="eastAsia" w:ascii="宋体" w:hAnsi="Calibri"/>
                <w:sz w:val="24"/>
              </w:rPr>
              <w:t>报价金额</w:t>
            </w:r>
          </w:p>
        </w:tc>
        <w:tc>
          <w:tcPr>
            <w:tcW w:w="1930" w:type="dxa"/>
            <w:vAlign w:val="center"/>
          </w:tcPr>
          <w:p>
            <w:pPr>
              <w:spacing w:after="120"/>
              <w:jc w:val="center"/>
              <w:rPr>
                <w:rFonts w:ascii="宋体" w:hAnsi="Calibri"/>
                <w:sz w:val="24"/>
              </w:rPr>
            </w:pPr>
            <w:r>
              <w:rPr>
                <w:rFonts w:hint="eastAsia" w:ascii="宋体" w:hAnsi="Calibri"/>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pPr>
              <w:spacing w:after="120"/>
              <w:jc w:val="center"/>
              <w:rPr>
                <w:rFonts w:ascii="宋体" w:hAnsi="Calibri"/>
                <w:sz w:val="24"/>
              </w:rPr>
            </w:pPr>
          </w:p>
        </w:tc>
        <w:tc>
          <w:tcPr>
            <w:tcW w:w="1839" w:type="dxa"/>
            <w:vAlign w:val="center"/>
          </w:tcPr>
          <w:p>
            <w:pPr>
              <w:spacing w:after="120"/>
              <w:ind w:left="420" w:leftChars="200" w:firstLine="420"/>
              <w:jc w:val="center"/>
              <w:rPr>
                <w:rFonts w:ascii="宋体" w:hAnsi="Calibri"/>
                <w:sz w:val="24"/>
              </w:rPr>
            </w:pPr>
          </w:p>
        </w:tc>
        <w:tc>
          <w:tcPr>
            <w:tcW w:w="1803" w:type="dxa"/>
            <w:vAlign w:val="center"/>
          </w:tcPr>
          <w:p>
            <w:pPr>
              <w:spacing w:after="120"/>
              <w:ind w:left="420" w:leftChars="200" w:firstLine="420"/>
              <w:jc w:val="center"/>
              <w:rPr>
                <w:rFonts w:ascii="宋体" w:hAnsi="Calibri"/>
                <w:sz w:val="24"/>
              </w:rPr>
            </w:pPr>
          </w:p>
        </w:tc>
        <w:tc>
          <w:tcPr>
            <w:tcW w:w="1465" w:type="dxa"/>
            <w:vAlign w:val="center"/>
          </w:tcPr>
          <w:p>
            <w:pPr>
              <w:spacing w:after="120"/>
              <w:ind w:left="420" w:leftChars="200" w:firstLine="420"/>
              <w:jc w:val="center"/>
              <w:rPr>
                <w:rFonts w:ascii="宋体" w:hAnsi="Calibri"/>
                <w:sz w:val="24"/>
              </w:rPr>
            </w:pPr>
          </w:p>
        </w:tc>
        <w:tc>
          <w:tcPr>
            <w:tcW w:w="2123" w:type="dxa"/>
            <w:vAlign w:val="center"/>
          </w:tcPr>
          <w:p>
            <w:pPr>
              <w:spacing w:after="120"/>
              <w:ind w:left="420" w:leftChars="200" w:firstLine="420"/>
              <w:jc w:val="center"/>
              <w:rPr>
                <w:rFonts w:ascii="宋体" w:hAnsi="Calibri"/>
                <w:sz w:val="24"/>
              </w:rPr>
            </w:pPr>
          </w:p>
        </w:tc>
        <w:tc>
          <w:tcPr>
            <w:tcW w:w="1930" w:type="dxa"/>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pPr>
              <w:spacing w:after="120"/>
              <w:ind w:left="420" w:leftChars="200" w:firstLine="420"/>
              <w:jc w:val="center"/>
              <w:rPr>
                <w:rFonts w:ascii="宋体" w:hAnsi="Calibri"/>
                <w:sz w:val="24"/>
              </w:rPr>
            </w:pPr>
          </w:p>
        </w:tc>
        <w:tc>
          <w:tcPr>
            <w:tcW w:w="1839" w:type="dxa"/>
            <w:vAlign w:val="center"/>
          </w:tcPr>
          <w:p>
            <w:pPr>
              <w:spacing w:after="120"/>
              <w:ind w:left="420" w:leftChars="200" w:firstLine="420"/>
              <w:jc w:val="center"/>
              <w:rPr>
                <w:rFonts w:ascii="宋体" w:hAnsi="Calibri"/>
                <w:sz w:val="24"/>
              </w:rPr>
            </w:pPr>
          </w:p>
        </w:tc>
        <w:tc>
          <w:tcPr>
            <w:tcW w:w="1803" w:type="dxa"/>
            <w:vAlign w:val="center"/>
          </w:tcPr>
          <w:p>
            <w:pPr>
              <w:spacing w:after="120"/>
              <w:ind w:left="420" w:leftChars="200" w:firstLine="420"/>
              <w:jc w:val="center"/>
              <w:rPr>
                <w:rFonts w:ascii="宋体" w:hAnsi="Calibri"/>
                <w:sz w:val="24"/>
              </w:rPr>
            </w:pPr>
          </w:p>
        </w:tc>
        <w:tc>
          <w:tcPr>
            <w:tcW w:w="1465" w:type="dxa"/>
            <w:vAlign w:val="center"/>
          </w:tcPr>
          <w:p>
            <w:pPr>
              <w:spacing w:after="120"/>
              <w:ind w:left="420" w:leftChars="200" w:firstLine="420"/>
              <w:jc w:val="center"/>
              <w:rPr>
                <w:rFonts w:ascii="宋体" w:hAnsi="Calibri"/>
                <w:sz w:val="24"/>
              </w:rPr>
            </w:pPr>
          </w:p>
        </w:tc>
        <w:tc>
          <w:tcPr>
            <w:tcW w:w="2123" w:type="dxa"/>
            <w:vAlign w:val="center"/>
          </w:tcPr>
          <w:p>
            <w:pPr>
              <w:spacing w:after="120"/>
              <w:ind w:left="420" w:leftChars="200" w:firstLine="420"/>
              <w:jc w:val="center"/>
              <w:rPr>
                <w:rFonts w:ascii="宋体" w:hAnsi="Calibri"/>
                <w:sz w:val="24"/>
              </w:rPr>
            </w:pPr>
          </w:p>
        </w:tc>
        <w:tc>
          <w:tcPr>
            <w:tcW w:w="1930" w:type="dxa"/>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pPr>
              <w:spacing w:after="120"/>
              <w:ind w:left="420" w:leftChars="200" w:firstLine="420"/>
              <w:jc w:val="center"/>
              <w:rPr>
                <w:rFonts w:ascii="宋体" w:hAnsi="Calibri"/>
                <w:sz w:val="24"/>
              </w:rPr>
            </w:pPr>
          </w:p>
        </w:tc>
        <w:tc>
          <w:tcPr>
            <w:tcW w:w="1839" w:type="dxa"/>
            <w:vAlign w:val="center"/>
          </w:tcPr>
          <w:p>
            <w:pPr>
              <w:spacing w:after="120"/>
              <w:ind w:left="420" w:leftChars="200" w:firstLine="420"/>
              <w:jc w:val="center"/>
              <w:rPr>
                <w:rFonts w:ascii="宋体" w:hAnsi="Calibri"/>
                <w:sz w:val="24"/>
              </w:rPr>
            </w:pPr>
          </w:p>
        </w:tc>
        <w:tc>
          <w:tcPr>
            <w:tcW w:w="1803" w:type="dxa"/>
            <w:vAlign w:val="center"/>
          </w:tcPr>
          <w:p>
            <w:pPr>
              <w:spacing w:after="120"/>
              <w:ind w:left="420" w:leftChars="200" w:firstLine="420"/>
              <w:jc w:val="center"/>
              <w:rPr>
                <w:rFonts w:ascii="宋体" w:hAnsi="Calibri"/>
                <w:sz w:val="24"/>
              </w:rPr>
            </w:pPr>
          </w:p>
        </w:tc>
        <w:tc>
          <w:tcPr>
            <w:tcW w:w="1465" w:type="dxa"/>
            <w:vAlign w:val="center"/>
          </w:tcPr>
          <w:p>
            <w:pPr>
              <w:spacing w:after="120"/>
              <w:ind w:left="420" w:leftChars="200" w:firstLine="420"/>
              <w:jc w:val="center"/>
              <w:rPr>
                <w:rFonts w:ascii="宋体" w:hAnsi="Calibri"/>
                <w:sz w:val="24"/>
              </w:rPr>
            </w:pPr>
          </w:p>
        </w:tc>
        <w:tc>
          <w:tcPr>
            <w:tcW w:w="2123" w:type="dxa"/>
            <w:vAlign w:val="center"/>
          </w:tcPr>
          <w:p>
            <w:pPr>
              <w:spacing w:after="120"/>
              <w:ind w:left="420" w:leftChars="200" w:firstLine="420"/>
              <w:jc w:val="center"/>
              <w:rPr>
                <w:rFonts w:ascii="宋体" w:hAnsi="Calibri"/>
                <w:sz w:val="24"/>
              </w:rPr>
            </w:pPr>
          </w:p>
        </w:tc>
        <w:tc>
          <w:tcPr>
            <w:tcW w:w="1930" w:type="dxa"/>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415" w:type="dxa"/>
            <w:gridSpan w:val="2"/>
            <w:vAlign w:val="center"/>
          </w:tcPr>
          <w:p>
            <w:pPr>
              <w:spacing w:after="120"/>
              <w:jc w:val="center"/>
              <w:rPr>
                <w:rFonts w:ascii="宋体" w:hAnsi="Calibri"/>
                <w:sz w:val="24"/>
              </w:rPr>
            </w:pPr>
            <w:r>
              <w:rPr>
                <w:rFonts w:hint="eastAsia" w:ascii="宋体" w:hAnsi="Calibri"/>
                <w:sz w:val="24"/>
              </w:rPr>
              <w:t>总价（元）：</w:t>
            </w:r>
          </w:p>
        </w:tc>
        <w:tc>
          <w:tcPr>
            <w:tcW w:w="7321" w:type="dxa"/>
            <w:gridSpan w:val="4"/>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415" w:type="dxa"/>
            <w:gridSpan w:val="2"/>
            <w:vAlign w:val="center"/>
          </w:tcPr>
          <w:p>
            <w:pPr>
              <w:spacing w:after="120"/>
              <w:jc w:val="center"/>
              <w:rPr>
                <w:rFonts w:ascii="宋体" w:hAnsi="Calibri"/>
                <w:sz w:val="24"/>
              </w:rPr>
            </w:pPr>
            <w:r>
              <w:rPr>
                <w:rFonts w:hint="eastAsia" w:ascii="宋体" w:hAnsi="Calibri"/>
                <w:sz w:val="24"/>
              </w:rPr>
              <w:t>总价（大写）：</w:t>
            </w:r>
          </w:p>
        </w:tc>
        <w:tc>
          <w:tcPr>
            <w:tcW w:w="7321" w:type="dxa"/>
            <w:gridSpan w:val="4"/>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415" w:type="dxa"/>
            <w:gridSpan w:val="2"/>
            <w:vAlign w:val="center"/>
          </w:tcPr>
          <w:p>
            <w:pPr>
              <w:spacing w:after="120"/>
              <w:jc w:val="center"/>
              <w:rPr>
                <w:rFonts w:ascii="宋体" w:hAnsi="Calibri"/>
                <w:sz w:val="24"/>
              </w:rPr>
            </w:pPr>
            <w:r>
              <w:rPr>
                <w:rFonts w:hint="eastAsia" w:ascii="宋体" w:hAnsi="Calibri"/>
                <w:sz w:val="24"/>
              </w:rPr>
              <w:t>备注：</w:t>
            </w:r>
          </w:p>
        </w:tc>
        <w:tc>
          <w:tcPr>
            <w:tcW w:w="7321" w:type="dxa"/>
            <w:gridSpan w:val="4"/>
            <w:vAlign w:val="center"/>
          </w:tcPr>
          <w:p>
            <w:pPr>
              <w:spacing w:after="120"/>
              <w:ind w:left="420" w:leftChars="200" w:firstLine="420"/>
              <w:jc w:val="center"/>
              <w:rPr>
                <w:rFonts w:ascii="宋体" w:hAnsi="Calibri"/>
                <w:sz w:val="24"/>
              </w:rPr>
            </w:pPr>
          </w:p>
        </w:tc>
      </w:tr>
    </w:tbl>
    <w:p>
      <w:pPr>
        <w:pStyle w:val="11"/>
        <w:ind w:left="0" w:firstLine="0"/>
      </w:pPr>
    </w:p>
    <w:p>
      <w:pPr>
        <w:pStyle w:val="11"/>
        <w:ind w:left="0" w:firstLine="0"/>
      </w:pPr>
    </w:p>
    <w:p>
      <w:pPr>
        <w:pStyle w:val="11"/>
      </w:pPr>
    </w:p>
    <w:p>
      <w:pPr>
        <w:pStyle w:val="11"/>
      </w:pPr>
    </w:p>
    <w:p>
      <w:pPr>
        <w:pStyle w:val="11"/>
      </w:pPr>
    </w:p>
    <w:p>
      <w:pPr>
        <w:spacing w:line="360" w:lineRule="auto"/>
        <w:ind w:firstLine="240" w:firstLineChars="100"/>
        <w:rPr>
          <w:rFonts w:ascii="宋体"/>
          <w:sz w:val="24"/>
        </w:rPr>
      </w:pPr>
      <w:r>
        <w:rPr>
          <w:rFonts w:hint="eastAsia" w:ascii="宋体"/>
          <w:sz w:val="24"/>
        </w:rPr>
        <w:t>说明：以上报价有缺漏的其响应将被否决。</w:t>
      </w:r>
    </w:p>
    <w:p>
      <w:pPr>
        <w:spacing w:line="360" w:lineRule="auto"/>
        <w:rPr>
          <w:rFonts w:ascii="宋体"/>
          <w:sz w:val="24"/>
        </w:rPr>
      </w:pPr>
    </w:p>
    <w:p>
      <w:pPr>
        <w:spacing w:line="360" w:lineRule="auto"/>
        <w:rPr>
          <w:rFonts w:ascii="宋体"/>
          <w:sz w:val="24"/>
        </w:rPr>
      </w:pPr>
      <w:r>
        <w:rPr>
          <w:rFonts w:hint="eastAsia" w:ascii="宋体"/>
          <w:sz w:val="24"/>
        </w:rPr>
        <w:t>供应商代表签字：</w:t>
      </w:r>
      <w:r>
        <w:rPr>
          <w:rFonts w:hint="eastAsia" w:ascii="宋体"/>
          <w:sz w:val="24"/>
          <w:u w:val="single"/>
        </w:rPr>
        <w:t xml:space="preserve">                  </w:t>
      </w:r>
    </w:p>
    <w:p>
      <w:pPr>
        <w:spacing w:line="360" w:lineRule="auto"/>
        <w:rPr>
          <w:rFonts w:ascii="宋体"/>
          <w:sz w:val="24"/>
          <w:u w:val="single"/>
        </w:rPr>
      </w:pPr>
      <w:r>
        <w:rPr>
          <w:rFonts w:hint="eastAsia" w:ascii="宋体"/>
          <w:sz w:val="24"/>
        </w:rPr>
        <w:t>公章：</w:t>
      </w:r>
      <w:r>
        <w:rPr>
          <w:rFonts w:hint="eastAsia" w:ascii="宋体"/>
          <w:sz w:val="24"/>
          <w:u w:val="single"/>
        </w:rPr>
        <w:t xml:space="preserve">                            </w:t>
      </w:r>
    </w:p>
    <w:p>
      <w:pPr>
        <w:spacing w:line="360" w:lineRule="auto"/>
        <w:rPr>
          <w:rFonts w:ascii="宋体"/>
          <w:sz w:val="24"/>
        </w:rPr>
      </w:pPr>
      <w:r>
        <w:rPr>
          <w:rFonts w:hint="eastAsia" w:ascii="宋体"/>
          <w:sz w:val="24"/>
        </w:rPr>
        <w:t>日期：</w:t>
      </w:r>
      <w:r>
        <w:rPr>
          <w:rFonts w:hint="eastAsia" w:ascii="宋体"/>
          <w:sz w:val="24"/>
          <w:u w:val="single"/>
        </w:rPr>
        <w:t xml:space="preserve">                            </w:t>
      </w:r>
    </w:p>
    <w:p>
      <w:pPr>
        <w:pStyle w:val="11"/>
        <w:ind w:left="0" w:firstLine="0"/>
      </w:pPr>
    </w:p>
    <w:p>
      <w:pPr>
        <w:pStyle w:val="11"/>
        <w:ind w:left="0" w:firstLine="0"/>
      </w:pPr>
    </w:p>
    <w:p>
      <w:pPr>
        <w:jc w:val="left"/>
        <w:rPr>
          <w:rFonts w:ascii="宋体" w:hAnsi="宋体" w:cs="宋体"/>
          <w:sz w:val="24"/>
        </w:rPr>
      </w:pPr>
      <w:r>
        <w:rPr>
          <w:rFonts w:hint="eastAsia" w:ascii="宋体" w:hAnsi="宋体" w:cs="宋体"/>
          <w:sz w:val="24"/>
        </w:rPr>
        <w:t xml:space="preserve"> 附件2：法人代表授权书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rPr>
          <w:rFonts w:ascii="宋体" w:hAnsi="宋体" w:cs="宋体"/>
        </w:rPr>
      </w:pPr>
    </w:p>
    <w:p>
      <w:pPr>
        <w:pStyle w:val="21"/>
        <w:autoSpaceDE w:val="0"/>
        <w:autoSpaceDN w:val="0"/>
        <w:spacing w:before="120" w:after="120" w:line="240" w:lineRule="atLeast"/>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21"/>
        <w:autoSpaceDE w:val="0"/>
        <w:autoSpaceDN w:val="0"/>
        <w:spacing w:before="120" w:after="120" w:line="240" w:lineRule="atLeast"/>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21"/>
        <w:autoSpaceDE w:val="0"/>
        <w:autoSpaceDN w:val="0"/>
        <w:spacing w:before="120" w:after="120" w:line="240" w:lineRule="atLeast"/>
        <w:jc w:val="left"/>
        <w:rPr>
          <w:rFonts w:ascii="宋体" w:hAnsi="宋体" w:eastAsia="宋体" w:cs="宋体"/>
        </w:rPr>
      </w:pPr>
    </w:p>
    <w:p>
      <w:pPr>
        <w:pStyle w:val="21"/>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21"/>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21"/>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21"/>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21"/>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21"/>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ascii="宋体" w:hAnsi="宋体" w:cs="宋体"/>
          <w:b/>
          <w:sz w:val="32"/>
          <w:szCs w:val="20"/>
        </w:rPr>
      </w:pPr>
      <w:r>
        <w:rPr>
          <w:rFonts w:hint="eastAsia" w:ascii="宋体" w:hAnsi="宋体" w:cs="宋体"/>
          <w:sz w:val="24"/>
          <w:u w:val="single"/>
        </w:rPr>
        <w:br w:type="page"/>
      </w:r>
      <w:r>
        <w:rPr>
          <w:rFonts w:hint="eastAsia" w:ascii="宋体" w:hAnsi="宋体" w:cs="宋体"/>
          <w:sz w:val="24"/>
        </w:rPr>
        <w:t>附件3</w:t>
      </w:r>
      <w:r>
        <w:rPr>
          <w:rFonts w:hint="eastAsia" w:ascii="宋体" w:hAnsi="宋体" w:cs="宋体"/>
          <w:bCs/>
          <w:sz w:val="32"/>
          <w:szCs w:val="20"/>
        </w:rPr>
        <w:t>：</w:t>
      </w:r>
      <w:r>
        <w:rPr>
          <w:rFonts w:hint="eastAsia" w:ascii="宋体" w:hAnsi="宋体" w:cs="宋体"/>
          <w:sz w:val="24"/>
        </w:rPr>
        <w:t>技术参数偏离表</w:t>
      </w:r>
      <w:r>
        <w:rPr>
          <w:rFonts w:hint="eastAsia" w:ascii="宋体" w:hAnsi="宋体" w:cs="宋体"/>
          <w:bCs/>
          <w:sz w:val="32"/>
          <w:szCs w:val="20"/>
        </w:rPr>
        <w:t xml:space="preserve">   </w:t>
      </w:r>
      <w:r>
        <w:rPr>
          <w:rFonts w:hint="eastAsia" w:ascii="宋体" w:hAnsi="宋体" w:cs="宋体"/>
          <w:b/>
          <w:sz w:val="32"/>
          <w:szCs w:val="20"/>
        </w:rPr>
        <w:t xml:space="preserve">            </w:t>
      </w:r>
    </w:p>
    <w:p>
      <w:pPr>
        <w:jc w:val="center"/>
        <w:rPr>
          <w:rFonts w:ascii="宋体" w:hAnsi="宋体" w:cs="宋体"/>
          <w:b/>
          <w:sz w:val="32"/>
          <w:szCs w:val="20"/>
        </w:rPr>
      </w:pPr>
      <w:r>
        <w:rPr>
          <w:rFonts w:hint="eastAsia" w:ascii="宋体" w:hAnsi="宋体" w:cs="宋体"/>
          <w:b/>
          <w:sz w:val="32"/>
          <w:szCs w:val="20"/>
        </w:rPr>
        <w:t>技术参数偏离表（格式）</w:t>
      </w:r>
    </w:p>
    <w:p>
      <w:pPr>
        <w:rPr>
          <w:rFonts w:ascii="宋体" w:hAnsi="宋体" w:cs="宋体"/>
        </w:rPr>
      </w:pPr>
    </w:p>
    <w:p>
      <w:pPr>
        <w:rPr>
          <w:rFonts w:ascii="宋体" w:hAnsi="宋体" w:cs="宋体"/>
          <w:sz w:val="24"/>
        </w:rPr>
      </w:pPr>
      <w:r>
        <w:rPr>
          <w:rFonts w:hint="eastAsia" w:ascii="宋体" w:hAnsi="宋体" w:cs="宋体"/>
          <w:sz w:val="24"/>
        </w:rPr>
        <w:t>供应商名称：____________________________</w:t>
      </w:r>
    </w:p>
    <w:p>
      <w:pPr>
        <w:rPr>
          <w:rFonts w:ascii="宋体" w:hAnsi="宋体" w:cs="宋体"/>
        </w:rPr>
      </w:pPr>
    </w:p>
    <w:p>
      <w:pPr>
        <w:rPr>
          <w:rFonts w:ascii="宋体" w:hAnsi="宋体" w:cs="宋体"/>
        </w:rPr>
      </w:pPr>
    </w:p>
    <w:tbl>
      <w:tblPr>
        <w:tblStyle w:val="12"/>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响应文件要求</w:t>
            </w:r>
          </w:p>
        </w:tc>
        <w:tc>
          <w:tcPr>
            <w:tcW w:w="1950" w:type="dxa"/>
            <w:vAlign w:val="center"/>
          </w:tcPr>
          <w:p>
            <w:pPr>
              <w:spacing w:line="360" w:lineRule="auto"/>
              <w:jc w:val="center"/>
              <w:rPr>
                <w:rFonts w:ascii="宋体" w:hAnsi="宋体" w:cs="宋体"/>
                <w:sz w:val="24"/>
              </w:rPr>
            </w:pPr>
            <w:r>
              <w:rPr>
                <w:rFonts w:hint="eastAsia" w:ascii="宋体" w:hAnsi="宋体" w:cs="宋体"/>
                <w:sz w:val="24"/>
              </w:rPr>
              <w:t>响应情况说明</w:t>
            </w:r>
          </w:p>
        </w:tc>
        <w:tc>
          <w:tcPr>
            <w:tcW w:w="1424" w:type="dxa"/>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1、供应商应对照遴选文件“第二章 货物需求一览表及技术规格”的相关内容，逐条说明所提供货物和服务已对遴选文件的需求做出了实质性的响应，并申明与需求的偏差和例外。</w:t>
      </w:r>
    </w:p>
    <w:p>
      <w:pPr>
        <w:spacing w:line="360" w:lineRule="auto"/>
        <w:ind w:left="850" w:hanging="849" w:hangingChars="354"/>
        <w:jc w:val="left"/>
        <w:rPr>
          <w:rFonts w:ascii="宋体" w:hAnsi="宋体"/>
          <w:sz w:val="24"/>
        </w:rPr>
      </w:pPr>
      <w:r>
        <w:rPr>
          <w:rFonts w:hint="eastAsia" w:ascii="宋体" w:hAnsi="宋体"/>
          <w:sz w:val="24"/>
        </w:rPr>
        <w:t>2、供应商可在“响应情况说明”中就响应内容进行明确“响应”或“不响应”。</w:t>
      </w:r>
    </w:p>
    <w:p>
      <w:pPr>
        <w:spacing w:line="360" w:lineRule="auto"/>
        <w:jc w:val="left"/>
        <w:rPr>
          <w:rFonts w:ascii="宋体" w:hAnsi="宋体"/>
          <w:sz w:val="24"/>
        </w:rPr>
      </w:pPr>
      <w:r>
        <w:rPr>
          <w:rFonts w:hint="eastAsia" w:ascii="宋体" w:hAnsi="宋体"/>
          <w:sz w:val="24"/>
        </w:rPr>
        <w:t>3、如果表格叙述不下，可另附页说明。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ascii="宋体" w:hAnsi="宋体" w:cs="宋体"/>
          <w:sz w:val="24"/>
          <w:u w:val="single"/>
        </w:rPr>
      </w:pP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r>
        <w:rPr>
          <w:rFonts w:hint="eastAsia" w:ascii="宋体" w:hAnsi="宋体" w:cs="宋体"/>
          <w:sz w:val="24"/>
        </w:rPr>
        <w:t>附件4：</w:t>
      </w:r>
      <w:r>
        <w:rPr>
          <w:rFonts w:hint="eastAsia" w:ascii="宋体" w:hAnsi="宋体" w:cs="宋体"/>
          <w:bCs/>
          <w:sz w:val="24"/>
        </w:rPr>
        <w:t>用户名单</w:t>
      </w:r>
    </w:p>
    <w:p>
      <w:pPr>
        <w:jc w:val="center"/>
        <w:rPr>
          <w:rFonts w:ascii="宋体" w:hAnsi="宋体" w:cs="宋体"/>
          <w:sz w:val="24"/>
        </w:rPr>
      </w:pPr>
      <w:r>
        <w:rPr>
          <w:rFonts w:hint="eastAsia" w:ascii="宋体" w:hAnsi="宋体" w:cs="宋体"/>
          <w:b/>
          <w:sz w:val="32"/>
          <w:szCs w:val="20"/>
        </w:rPr>
        <w:t>用户名单</w:t>
      </w:r>
    </w:p>
    <w:tbl>
      <w:tblPr>
        <w:tblStyle w:val="1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85" w:type="dxa"/>
          </w:tcPr>
          <w:p>
            <w:pPr>
              <w:spacing w:line="360" w:lineRule="auto"/>
              <w:jc w:val="center"/>
              <w:rPr>
                <w:rFonts w:ascii="宋体" w:hAnsi="宋体" w:cs="宋体"/>
                <w:sz w:val="24"/>
              </w:rPr>
            </w:pPr>
            <w:r>
              <w:rPr>
                <w:rFonts w:hint="eastAsia" w:ascii="宋体" w:hAnsi="宋体" w:cs="宋体"/>
                <w:sz w:val="24"/>
              </w:rPr>
              <w:t>用户名称</w:t>
            </w:r>
          </w:p>
        </w:tc>
        <w:tc>
          <w:tcPr>
            <w:tcW w:w="1559" w:type="dxa"/>
          </w:tcPr>
          <w:p>
            <w:pPr>
              <w:spacing w:line="360" w:lineRule="auto"/>
              <w:jc w:val="center"/>
              <w:rPr>
                <w:rFonts w:ascii="宋体" w:hAnsi="宋体" w:cs="宋体"/>
                <w:sz w:val="24"/>
              </w:rPr>
            </w:pPr>
            <w:r>
              <w:rPr>
                <w:rFonts w:hint="eastAsia" w:ascii="宋体" w:hAnsi="宋体" w:cs="宋体"/>
                <w:sz w:val="24"/>
              </w:rPr>
              <w:t>所属城市</w:t>
            </w:r>
          </w:p>
        </w:tc>
        <w:tc>
          <w:tcPr>
            <w:tcW w:w="1560" w:type="dxa"/>
          </w:tcPr>
          <w:p>
            <w:pPr>
              <w:spacing w:line="360" w:lineRule="auto"/>
              <w:jc w:val="center"/>
              <w:rPr>
                <w:rFonts w:ascii="宋体" w:hAnsi="宋体" w:cs="宋体"/>
                <w:sz w:val="24"/>
              </w:rPr>
            </w:pPr>
            <w:r>
              <w:rPr>
                <w:rFonts w:hint="eastAsia" w:ascii="宋体" w:hAnsi="宋体" w:cs="宋体"/>
                <w:sz w:val="24"/>
              </w:rPr>
              <w:t>数量</w:t>
            </w:r>
          </w:p>
        </w:tc>
        <w:tc>
          <w:tcPr>
            <w:tcW w:w="1275" w:type="dxa"/>
          </w:tcPr>
          <w:p>
            <w:pPr>
              <w:spacing w:line="360" w:lineRule="auto"/>
              <w:jc w:val="center"/>
              <w:rPr>
                <w:rFonts w:ascii="宋体" w:hAnsi="宋体" w:cs="宋体"/>
                <w:sz w:val="24"/>
              </w:rPr>
            </w:pPr>
            <w:r>
              <w:rPr>
                <w:rFonts w:hint="eastAsia" w:ascii="宋体" w:hAnsi="宋体" w:cs="宋体"/>
                <w:sz w:val="24"/>
              </w:rPr>
              <w:t>联系人</w:t>
            </w:r>
          </w:p>
        </w:tc>
        <w:tc>
          <w:tcPr>
            <w:tcW w:w="1843" w:type="dxa"/>
          </w:tcPr>
          <w:p>
            <w:pPr>
              <w:spacing w:line="360" w:lineRule="auto"/>
              <w:jc w:val="center"/>
              <w:rPr>
                <w:rFonts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附件5：信用中国查询结果截图（模板如下）：</w:t>
      </w:r>
    </w:p>
    <w:p>
      <w:pPr>
        <w:ind w:firstLine="3040" w:firstLineChars="950"/>
        <w:rPr>
          <w:rFonts w:ascii="宋体" w:hAnsi="宋体" w:cs="宋体"/>
          <w:b/>
          <w:sz w:val="32"/>
          <w:szCs w:val="20"/>
        </w:rPr>
      </w:pPr>
      <w:r>
        <w:rPr>
          <w:rFonts w:hint="eastAsia" w:ascii="宋体" w:hAnsi="宋体" w:cs="宋体"/>
          <w:b/>
          <w:sz w:val="32"/>
          <w:szCs w:val="20"/>
        </w:rPr>
        <w:t>信用中国查询结果截图</w:t>
      </w:r>
    </w:p>
    <w:p>
      <w:pPr>
        <w:rPr>
          <w:rFonts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8" cstate="print"/>
                    <a:stretch>
                      <a:fillRect/>
                    </a:stretch>
                  </pic:blipFill>
                  <pic:spPr>
                    <a:xfrm>
                      <a:off x="0" y="0"/>
                      <a:ext cx="5762625" cy="4307205"/>
                    </a:xfrm>
                    <a:prstGeom prst="rect">
                      <a:avLst/>
                    </a:prstGeom>
                    <a:noFill/>
                    <a:ln>
                      <a:noFill/>
                    </a:ln>
                  </pic:spPr>
                </pic:pic>
              </a:graphicData>
            </a:graphic>
          </wp:inline>
        </w:drawing>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附件6：无重大违法记录承诺书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项目的投标。在此郑重声明：我公司在参加采购活动前三年内，在经营活动中没有重大违法记录。</w:t>
      </w:r>
    </w:p>
    <w:p>
      <w:pPr>
        <w:rPr>
          <w:rFonts w:ascii="宋体" w:hAnsi="宋体" w:cs="宋体"/>
          <w:sz w:val="24"/>
          <w:u w:val="single"/>
        </w:rPr>
      </w:pPr>
    </w:p>
    <w:p>
      <w:pPr>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rPr>
          <w:rFonts w:ascii="宋体" w:hAnsi="宋体" w:cs="宋体"/>
          <w:sz w:val="24"/>
          <w:u w:val="single"/>
        </w:rPr>
      </w:pPr>
    </w:p>
    <w:p>
      <w:pPr>
        <w:rPr>
          <w:rFonts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附件7：无行贿犯罪记录声明函</w:t>
      </w: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投标人代表签字:______________</w:t>
      </w:r>
    </w:p>
    <w:p>
      <w:pPr>
        <w:rPr>
          <w:rFonts w:ascii="宋体" w:hAnsi="宋体" w:cs="宋体"/>
          <w:sz w:val="24"/>
        </w:rPr>
      </w:pPr>
      <w:r>
        <w:rPr>
          <w:rFonts w:hint="eastAsia" w:ascii="宋体" w:hAnsi="宋体" w:cs="宋体"/>
          <w:sz w:val="24"/>
        </w:rPr>
        <w:t xml:space="preserve">日期:___________________  </w:t>
      </w:r>
    </w:p>
    <w:p>
      <w:pPr>
        <w:rPr>
          <w:rFonts w:ascii="宋体" w:hAnsi="宋体" w:cs="宋体"/>
          <w:sz w:val="24"/>
        </w:rPr>
      </w:pPr>
      <w:r>
        <w:rPr>
          <w:rFonts w:hint="eastAsia" w:ascii="宋体" w:hAnsi="宋体" w:cs="宋体"/>
          <w:sz w:val="24"/>
        </w:rPr>
        <w:t xml:space="preserve">投标人名称:______________________   </w:t>
      </w:r>
    </w:p>
    <w:p>
      <w:pPr>
        <w:rPr>
          <w:rFonts w:ascii="宋体" w:hAnsi="宋体" w:cs="宋体"/>
          <w:sz w:val="24"/>
        </w:rPr>
      </w:pPr>
      <w:r>
        <w:rPr>
          <w:rFonts w:hint="eastAsia" w:ascii="宋体" w:hAnsi="宋体" w:cs="宋体"/>
          <w:sz w:val="24"/>
        </w:rPr>
        <w:t xml:space="preserve">公章：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p/>
    <w:sectPr>
      <w:footerReference r:id="rId5" w:type="first"/>
      <w:headerReference r:id="rId3" w:type="default"/>
      <w:footerReference r:id="rId4" w:type="default"/>
      <w:pgSz w:w="11906" w:h="16838"/>
      <w:pgMar w:top="1440" w:right="1304" w:bottom="1440" w:left="1304" w:header="851" w:footer="992" w:gutter="0"/>
      <w:pgNumType w:fmt="decimal" w:start="2"/>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rPr>
                    <w:rStyle w:val="14"/>
                  </w:rPr>
                </w:pPr>
                <w:r>
                  <w:rPr>
                    <w:rStyle w:val="14"/>
                  </w:rPr>
                  <w:fldChar w:fldCharType="begin"/>
                </w:r>
                <w:r>
                  <w:rPr>
                    <w:rStyle w:val="14"/>
                  </w:rPr>
                  <w:instrText xml:space="preserve">PAGE  </w:instrText>
                </w:r>
                <w:r>
                  <w:rPr>
                    <w:rStyle w:val="14"/>
                  </w:rPr>
                  <w:fldChar w:fldCharType="separate"/>
                </w:r>
                <w:r>
                  <w:rPr>
                    <w:rStyle w:val="14"/>
                  </w:rPr>
                  <w:t>9</w:t>
                </w:r>
                <w:r>
                  <w:rPr>
                    <w:rStyle w:val="1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7"/>
                  <w:rPr>
                    <w:rFonts w:hint="eastAsia" w:eastAsia="宋体"/>
                    <w:lang w:val="en-US" w:eastAsia="zh-CN"/>
                  </w:rPr>
                </w:pPr>
                <w:r>
                  <w:rPr>
                    <w:rFonts w:hint="eastAsia"/>
                    <w:lang w:val="en-US" w:eastAsia="zh-CN"/>
                  </w:rPr>
                  <w:t>2</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32AA1"/>
    <w:multiLevelType w:val="multilevel"/>
    <w:tmpl w:val="98C32AA1"/>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9EBCCC30"/>
    <w:multiLevelType w:val="singleLevel"/>
    <w:tmpl w:val="9EBCCC30"/>
    <w:lvl w:ilvl="0" w:tentative="0">
      <w:start w:val="2"/>
      <w:numFmt w:val="decimal"/>
      <w:suff w:val="space"/>
      <w:lvlText w:val="%1）"/>
      <w:lvlJc w:val="left"/>
    </w:lvl>
  </w:abstractNum>
  <w:abstractNum w:abstractNumId="2">
    <w:nsid w:val="B454D804"/>
    <w:multiLevelType w:val="singleLevel"/>
    <w:tmpl w:val="B454D804"/>
    <w:lvl w:ilvl="0" w:tentative="0">
      <w:start w:val="1"/>
      <w:numFmt w:val="decimal"/>
      <w:lvlText w:val="%1)"/>
      <w:lvlJc w:val="left"/>
      <w:pPr>
        <w:ind w:left="845" w:hanging="425"/>
      </w:pPr>
      <w:rPr>
        <w:rFonts w:hint="default"/>
      </w:rPr>
    </w:lvl>
  </w:abstractNum>
  <w:abstractNum w:abstractNumId="3">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CAD898F"/>
    <w:multiLevelType w:val="singleLevel"/>
    <w:tmpl w:val="0CAD898F"/>
    <w:lvl w:ilvl="0" w:tentative="0">
      <w:start w:val="1"/>
      <w:numFmt w:val="bullet"/>
      <w:lvlText w:val=""/>
      <w:lvlJc w:val="left"/>
      <w:pPr>
        <w:ind w:left="630" w:hanging="420"/>
      </w:pPr>
      <w:rPr>
        <w:rFonts w:hint="default" w:ascii="Wingdings" w:hAnsi="Wingdings"/>
      </w:rPr>
    </w:lvl>
  </w:abstractNum>
  <w:abstractNum w:abstractNumId="6">
    <w:nsid w:val="18810C4B"/>
    <w:multiLevelType w:val="singleLevel"/>
    <w:tmpl w:val="18810C4B"/>
    <w:lvl w:ilvl="0" w:tentative="0">
      <w:start w:val="1"/>
      <w:numFmt w:val="decimal"/>
      <w:suff w:val="space"/>
      <w:lvlText w:val="%1）"/>
      <w:lvlJc w:val="left"/>
    </w:lvl>
  </w:abstractNum>
  <w:abstractNum w:abstractNumId="7">
    <w:nsid w:val="1C6E5812"/>
    <w:multiLevelType w:val="multilevel"/>
    <w:tmpl w:val="1C6E5812"/>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399E2DD7"/>
    <w:multiLevelType w:val="multilevel"/>
    <w:tmpl w:val="399E2DD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9">
    <w:nsid w:val="4F968C7E"/>
    <w:multiLevelType w:val="singleLevel"/>
    <w:tmpl w:val="4F968C7E"/>
    <w:lvl w:ilvl="0" w:tentative="0">
      <w:start w:val="1"/>
      <w:numFmt w:val="chineseCounting"/>
      <w:suff w:val="nothing"/>
      <w:lvlText w:val="%1、"/>
      <w:lvlJc w:val="left"/>
      <w:rPr>
        <w:rFonts w:hint="eastAsia"/>
      </w:rPr>
    </w:lvl>
  </w:abstractNum>
  <w:abstractNum w:abstractNumId="10">
    <w:nsid w:val="689AF510"/>
    <w:multiLevelType w:val="multilevel"/>
    <w:tmpl w:val="689AF510"/>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tabs>
          <w:tab w:val="left" w:pos="840"/>
        </w:tabs>
        <w:ind w:left="1050" w:hanging="420"/>
      </w:pPr>
      <w:rPr>
        <w:rFonts w:hint="default" w:ascii="Wingdings 2" w:hAnsi="Wingdings 2" w:cs="Wingdings 2"/>
      </w:rPr>
    </w:lvl>
    <w:lvl w:ilvl="2" w:tentative="0">
      <w:start w:val="1"/>
      <w:numFmt w:val="bullet"/>
      <w:lvlText w:val=""/>
      <w:lvlJc w:val="left"/>
      <w:pPr>
        <w:tabs>
          <w:tab w:val="left" w:pos="1260"/>
        </w:tabs>
        <w:ind w:left="1470" w:hanging="420"/>
      </w:pPr>
      <w:rPr>
        <w:rFonts w:hint="default" w:ascii="Wingdings" w:hAnsi="Wingdings"/>
      </w:rPr>
    </w:lvl>
    <w:lvl w:ilvl="3" w:tentative="0">
      <w:start w:val="1"/>
      <w:numFmt w:val="bullet"/>
      <w:lvlText w:val=""/>
      <w:lvlJc w:val="left"/>
      <w:pPr>
        <w:tabs>
          <w:tab w:val="left" w:pos="1680"/>
        </w:tabs>
        <w:ind w:left="1890" w:hanging="420"/>
      </w:pPr>
      <w:rPr>
        <w:rFonts w:hint="default" w:ascii="Wingdings" w:hAnsi="Wingdings"/>
      </w:rPr>
    </w:lvl>
    <w:lvl w:ilvl="4" w:tentative="0">
      <w:start w:val="1"/>
      <w:numFmt w:val="bullet"/>
      <w:lvlText w:val=""/>
      <w:lvlJc w:val="left"/>
      <w:pPr>
        <w:tabs>
          <w:tab w:val="left" w:pos="2100"/>
        </w:tabs>
        <w:ind w:left="2310" w:hanging="420"/>
      </w:pPr>
      <w:rPr>
        <w:rFonts w:hint="default" w:ascii="Wingdings" w:hAnsi="Wingdings"/>
      </w:rPr>
    </w:lvl>
    <w:lvl w:ilvl="5" w:tentative="0">
      <w:start w:val="1"/>
      <w:numFmt w:val="bullet"/>
      <w:lvlText w:val=""/>
      <w:lvlJc w:val="left"/>
      <w:pPr>
        <w:tabs>
          <w:tab w:val="left" w:pos="2520"/>
        </w:tabs>
        <w:ind w:left="2730" w:hanging="420"/>
      </w:pPr>
      <w:rPr>
        <w:rFonts w:hint="default" w:ascii="Wingdings" w:hAnsi="Wingdings"/>
      </w:rPr>
    </w:lvl>
    <w:lvl w:ilvl="6" w:tentative="0">
      <w:start w:val="1"/>
      <w:numFmt w:val="bullet"/>
      <w:lvlText w:val=""/>
      <w:lvlJc w:val="left"/>
      <w:pPr>
        <w:tabs>
          <w:tab w:val="left" w:pos="2940"/>
        </w:tabs>
        <w:ind w:left="3150" w:hanging="420"/>
      </w:pPr>
      <w:rPr>
        <w:rFonts w:hint="default" w:ascii="Wingdings" w:hAnsi="Wingdings"/>
      </w:rPr>
    </w:lvl>
    <w:lvl w:ilvl="7" w:tentative="0">
      <w:start w:val="1"/>
      <w:numFmt w:val="bullet"/>
      <w:lvlText w:val=""/>
      <w:lvlJc w:val="left"/>
      <w:pPr>
        <w:tabs>
          <w:tab w:val="left" w:pos="3360"/>
        </w:tabs>
        <w:ind w:left="3570" w:hanging="420"/>
      </w:pPr>
      <w:rPr>
        <w:rFonts w:hint="default" w:ascii="Wingdings" w:hAnsi="Wingdings"/>
      </w:rPr>
    </w:lvl>
    <w:lvl w:ilvl="8" w:tentative="0">
      <w:start w:val="1"/>
      <w:numFmt w:val="bullet"/>
      <w:lvlText w:val=""/>
      <w:lvlJc w:val="left"/>
      <w:pPr>
        <w:tabs>
          <w:tab w:val="left" w:pos="3780"/>
        </w:tabs>
        <w:ind w:left="3990" w:hanging="420"/>
      </w:pPr>
      <w:rPr>
        <w:rFonts w:hint="default" w:ascii="Wingdings" w:hAnsi="Wingdings"/>
      </w:rPr>
    </w:lvl>
  </w:abstractNum>
  <w:abstractNum w:abstractNumId="11">
    <w:nsid w:val="6D985AF7"/>
    <w:multiLevelType w:val="singleLevel"/>
    <w:tmpl w:val="6D985AF7"/>
    <w:lvl w:ilvl="0" w:tentative="0">
      <w:start w:val="1"/>
      <w:numFmt w:val="decimal"/>
      <w:lvlText w:val="%1)"/>
      <w:lvlJc w:val="left"/>
      <w:pPr>
        <w:ind w:left="845" w:hanging="425"/>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11"/>
  </w:num>
  <w:num w:numId="8">
    <w:abstractNumId w:val="3"/>
  </w:num>
  <w:num w:numId="9">
    <w:abstractNumId w:val="9"/>
  </w:num>
  <w:num w:numId="10">
    <w:abstractNumId w:val="0"/>
  </w:num>
  <w:num w:numId="11">
    <w:abstractNumId w:val="1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E4MzRhZmZjZWIyNjE3ZThkMDgzNjcyMWRmM2E1YmUifQ=="/>
  </w:docVars>
  <w:rsids>
    <w:rsidRoot w:val="6B2F17DE"/>
    <w:rsid w:val="000D02C6"/>
    <w:rsid w:val="00871A3B"/>
    <w:rsid w:val="00C13E2C"/>
    <w:rsid w:val="056C2D54"/>
    <w:rsid w:val="07FC03D1"/>
    <w:rsid w:val="07FF5C5B"/>
    <w:rsid w:val="0CA93B2B"/>
    <w:rsid w:val="0D6D61B7"/>
    <w:rsid w:val="0FEE35BB"/>
    <w:rsid w:val="167D3F07"/>
    <w:rsid w:val="224D1A14"/>
    <w:rsid w:val="2C7A2EB0"/>
    <w:rsid w:val="2E2456A8"/>
    <w:rsid w:val="31501BF3"/>
    <w:rsid w:val="4AAC1378"/>
    <w:rsid w:val="506131F5"/>
    <w:rsid w:val="5F921471"/>
    <w:rsid w:val="6B2F17DE"/>
    <w:rsid w:val="77CE2688"/>
    <w:rsid w:val="7CD96D8E"/>
    <w:rsid w:val="7D231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annotation text"/>
    <w:basedOn w:val="1"/>
    <w:uiPriority w:val="0"/>
    <w:pPr>
      <w:jc w:val="left"/>
    </w:pPr>
  </w:style>
  <w:style w:type="paragraph" w:styleId="5">
    <w:name w:val="Body Text Indent"/>
    <w:basedOn w:val="1"/>
    <w:qFormat/>
    <w:uiPriority w:val="0"/>
    <w:pPr>
      <w:spacing w:line="360" w:lineRule="auto"/>
      <w:ind w:left="420" w:firstLine="420"/>
    </w:pPr>
    <w:rPr>
      <w:rFonts w:ascii="宋体" w:hAnsi="宋体"/>
      <w:sz w:val="24"/>
      <w:shd w:val="pct10" w:color="auto" w:fill="FFFFFF"/>
    </w:rPr>
  </w:style>
  <w:style w:type="paragraph" w:styleId="6">
    <w:name w:val="Balloon Text"/>
    <w:basedOn w:val="1"/>
    <w:link w:val="22"/>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jc w:val="center"/>
    </w:pPr>
    <w:rPr>
      <w:rFonts w:ascii="楷体_GB2312" w:eastAsia="楷体_GB2312"/>
      <w:b/>
      <w:sz w:val="72"/>
      <w:szCs w:val="20"/>
    </w:rPr>
  </w:style>
  <w:style w:type="paragraph" w:styleId="10">
    <w:name w:val="Normal (Web)"/>
    <w:basedOn w:val="1"/>
    <w:qFormat/>
    <w:uiPriority w:val="0"/>
    <w:pPr>
      <w:spacing w:beforeAutospacing="1" w:afterAutospacing="1"/>
      <w:jc w:val="left"/>
    </w:pPr>
    <w:rPr>
      <w:kern w:val="0"/>
      <w:sz w:val="24"/>
    </w:rPr>
  </w:style>
  <w:style w:type="paragraph" w:styleId="11">
    <w:name w:val="Body Text First Indent 2"/>
    <w:basedOn w:val="5"/>
    <w:unhideWhenUsed/>
    <w:qFormat/>
    <w:uiPriority w:val="99"/>
  </w:style>
  <w:style w:type="character" w:styleId="14">
    <w:name w:val="page number"/>
    <w:qFormat/>
    <w:uiPriority w:val="0"/>
  </w:style>
  <w:style w:type="character" w:styleId="15">
    <w:name w:val="Hyperlink"/>
    <w:unhideWhenUsed/>
    <w:qFormat/>
    <w:uiPriority w:val="0"/>
    <w:rPr>
      <w:color w:val="0000FF"/>
      <w:u w:val="single"/>
    </w:rPr>
  </w:style>
  <w:style w:type="character" w:styleId="16">
    <w:name w:val="annotation reference"/>
    <w:basedOn w:val="13"/>
    <w:qFormat/>
    <w:uiPriority w:val="0"/>
    <w:rPr>
      <w:sz w:val="21"/>
      <w:szCs w:val="21"/>
    </w:rPr>
  </w:style>
  <w:style w:type="paragraph" w:customStyle="1" w:styleId="17">
    <w:name w:val="ITB-0"/>
    <w:basedOn w:val="1"/>
    <w:qFormat/>
    <w:uiPriority w:val="0"/>
    <w:pPr>
      <w:adjustRightInd w:val="0"/>
      <w:jc w:val="center"/>
    </w:pPr>
    <w:rPr>
      <w:b/>
      <w:sz w:val="32"/>
      <w:szCs w:val="20"/>
    </w:rPr>
  </w:style>
  <w:style w:type="paragraph" w:customStyle="1" w:styleId="18">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19">
    <w:name w:val="ifb-1"/>
    <w:basedOn w:val="1"/>
    <w:qFormat/>
    <w:uiPriority w:val="0"/>
    <w:pPr>
      <w:ind w:left="420" w:hanging="420"/>
    </w:pPr>
    <w:rPr>
      <w:rFonts w:ascii="楷体_GB2312" w:eastAsia="楷体_GB2312"/>
      <w:szCs w:val="20"/>
    </w:rPr>
  </w:style>
  <w:style w:type="paragraph" w:customStyle="1" w:styleId="20">
    <w:name w:val="列出段落1"/>
    <w:basedOn w:val="1"/>
    <w:qFormat/>
    <w:uiPriority w:val="0"/>
    <w:pPr>
      <w:ind w:firstLine="420" w:firstLineChars="200"/>
    </w:pPr>
    <w:rPr>
      <w:rFonts w:ascii="Calibri" w:hAnsi="Calibri"/>
      <w:szCs w:val="22"/>
    </w:rPr>
  </w:style>
  <w:style w:type="paragraph" w:customStyle="1" w:styleId="21">
    <w:name w:val="att"/>
    <w:basedOn w:val="1"/>
    <w:qFormat/>
    <w:uiPriority w:val="0"/>
    <w:pPr>
      <w:spacing w:line="360" w:lineRule="auto"/>
    </w:pPr>
    <w:rPr>
      <w:rFonts w:eastAsia="楷体_GB2312"/>
      <w:sz w:val="24"/>
      <w:szCs w:val="20"/>
    </w:rPr>
  </w:style>
  <w:style w:type="character" w:customStyle="1" w:styleId="22">
    <w:name w:val="批注框文本 Char"/>
    <w:basedOn w:val="13"/>
    <w:link w:val="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5150</Words>
  <Characters>5865</Characters>
  <Lines>48</Lines>
  <Paragraphs>13</Paragraphs>
  <TotalTime>8</TotalTime>
  <ScaleCrop>false</ScaleCrop>
  <LinksUpToDate>false</LinksUpToDate>
  <CharactersWithSpaces>6328</CharactersWithSpaces>
  <Application>WPS Office_11.1.0.11797_F1E327BC-269C-435d-A152-05C5408002CA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2022-03-03T02:22:00Z</dcterms:created>
  <dc:creator>user</dc:creator>
  <cp:lastModifiedBy>user</cp:lastModifiedBy>
  <dcterms:modified xsi:type="dcterms:W3CDTF">2022-06-06T00:05:56Z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2052-11.1.0.11797</vt:lpwstr>
  </property>
  <property fmtid="{D5CDD505-2E9C-101B-9397-08002B2CF9AE}" pid="3" name="ICV">
    <vt:lpwstr>948C9E9221F4482292AEA7355DE23444</vt:lpwstr>
  </property>
</Properties>
</file>