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华文仿宋" w:hAnsi="华文仿宋" w:eastAsia="华文仿宋"/>
          <w:sz w:val="60"/>
          <w:szCs w:val="60"/>
        </w:rPr>
      </w:pPr>
    </w:p>
    <w:p>
      <w:pPr>
        <w:pStyle w:val="9"/>
        <w:rPr>
          <w:rFonts w:ascii="宋体" w:hAnsi="宋体" w:eastAsia="宋体" w:cs="宋体"/>
          <w:sz w:val="60"/>
          <w:szCs w:val="60"/>
        </w:rPr>
      </w:pPr>
      <w:r>
        <w:rPr>
          <w:rFonts w:hint="eastAsia" w:ascii="宋体" w:hAnsi="宋体" w:eastAsia="宋体" w:cs="宋体"/>
          <w:sz w:val="60"/>
          <w:szCs w:val="60"/>
        </w:rPr>
        <w:t>上海市儿童医院</w:t>
      </w:r>
    </w:p>
    <w:p>
      <w:pPr>
        <w:pStyle w:val="9"/>
        <w:tabs>
          <w:tab w:val="center" w:pos="4479"/>
          <w:tab w:val="right" w:pos="8958"/>
        </w:tabs>
        <w:rPr>
          <w:rFonts w:ascii="宋体" w:hAnsi="宋体" w:eastAsia="宋体" w:cs="宋体"/>
          <w:sz w:val="40"/>
          <w:szCs w:val="40"/>
        </w:rPr>
      </w:pPr>
    </w:p>
    <w:p>
      <w:pPr>
        <w:pStyle w:val="9"/>
        <w:tabs>
          <w:tab w:val="center" w:pos="4479"/>
          <w:tab w:val="right" w:pos="8958"/>
        </w:tabs>
        <w:rPr>
          <w:rFonts w:ascii="宋体" w:hAnsi="宋体" w:eastAsia="宋体" w:cs="宋体"/>
          <w:sz w:val="40"/>
          <w:szCs w:val="40"/>
        </w:rPr>
      </w:pPr>
    </w:p>
    <w:p>
      <w:pPr>
        <w:pStyle w:val="9"/>
        <w:tabs>
          <w:tab w:val="center" w:pos="4479"/>
          <w:tab w:val="right" w:pos="8958"/>
        </w:tabs>
        <w:rPr>
          <w:rFonts w:ascii="宋体" w:hAnsi="宋体" w:eastAsia="宋体" w:cs="宋体"/>
          <w:sz w:val="40"/>
          <w:szCs w:val="40"/>
        </w:rPr>
      </w:pPr>
    </w:p>
    <w:p>
      <w:pPr>
        <w:pStyle w:val="9"/>
        <w:tabs>
          <w:tab w:val="center" w:pos="4479"/>
          <w:tab w:val="right" w:pos="8958"/>
        </w:tabs>
        <w:rPr>
          <w:rFonts w:ascii="宋体" w:hAnsi="宋体" w:eastAsia="宋体" w:cs="宋体"/>
          <w:sz w:val="60"/>
          <w:szCs w:val="60"/>
        </w:rPr>
      </w:pPr>
      <w:r>
        <w:rPr>
          <w:rFonts w:hint="eastAsia" w:ascii="宋体" w:hAnsi="宋体" w:eastAsia="宋体" w:cs="宋体"/>
          <w:sz w:val="60"/>
          <w:szCs w:val="60"/>
        </w:rPr>
        <w:t>罕见病临床科研管理项目</w:t>
      </w:r>
    </w:p>
    <w:p>
      <w:pPr>
        <w:pStyle w:val="18"/>
        <w:spacing w:line="312" w:lineRule="atLeast"/>
        <w:outlineLvl w:val="0"/>
        <w:rPr>
          <w:rFonts w:ascii="宋体" w:hAnsi="宋体" w:cs="宋体"/>
          <w:sz w:val="60"/>
          <w:szCs w:val="60"/>
        </w:rPr>
      </w:pPr>
    </w:p>
    <w:p>
      <w:pPr>
        <w:pStyle w:val="18"/>
        <w:spacing w:line="312" w:lineRule="atLeast"/>
        <w:outlineLvl w:val="0"/>
        <w:rPr>
          <w:rFonts w:ascii="宋体" w:hAnsi="宋体" w:cs="宋体"/>
          <w:sz w:val="60"/>
          <w:szCs w:val="60"/>
        </w:rPr>
      </w:pPr>
      <w:r>
        <w:rPr>
          <w:rFonts w:hint="eastAsia" w:ascii="宋体" w:hAnsi="宋体" w:cs="宋体"/>
          <w:sz w:val="60"/>
          <w:szCs w:val="60"/>
        </w:rPr>
        <w:t>遴选文件</w:t>
      </w: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p>
    <w:p>
      <w:pPr>
        <w:tabs>
          <w:tab w:val="left" w:pos="3150"/>
        </w:tabs>
        <w:jc w:val="center"/>
        <w:rPr>
          <w:rFonts w:ascii="宋体" w:hAnsi="宋体" w:cs="宋体"/>
          <w:b/>
          <w:sz w:val="36"/>
          <w:szCs w:val="20"/>
        </w:rPr>
      </w:pPr>
      <w:r>
        <w:rPr>
          <w:rFonts w:hint="eastAsia" w:ascii="宋体" w:hAnsi="宋体" w:cs="宋体"/>
          <w:b/>
          <w:sz w:val="36"/>
          <w:szCs w:val="20"/>
        </w:rPr>
        <w:t>遴选编号：2021-ETLXXB-009</w:t>
      </w:r>
    </w:p>
    <w:p>
      <w:pPr>
        <w:pStyle w:val="9"/>
        <w:rPr>
          <w:rFonts w:ascii="宋体" w:hAnsi="宋体" w:eastAsia="宋体" w:cs="宋体"/>
          <w:sz w:val="36"/>
        </w:rPr>
      </w:pPr>
    </w:p>
    <w:p>
      <w:pPr>
        <w:pStyle w:val="9"/>
        <w:rPr>
          <w:rFonts w:ascii="宋体" w:hAnsi="宋体" w:eastAsia="宋体" w:cs="宋体"/>
          <w:sz w:val="36"/>
        </w:rPr>
      </w:pPr>
      <w:r>
        <w:rPr>
          <w:rFonts w:hint="eastAsia" w:ascii="宋体" w:hAnsi="宋体" w:eastAsia="宋体" w:cs="宋体"/>
          <w:sz w:val="36"/>
        </w:rPr>
        <w:t>2021年</w:t>
      </w:r>
      <w:r>
        <w:rPr>
          <w:rFonts w:hint="eastAsia" w:ascii="宋体" w:hAnsi="宋体" w:eastAsia="宋体" w:cs="宋体"/>
          <w:sz w:val="36"/>
          <w:lang w:val="en-US" w:eastAsia="zh-CN"/>
        </w:rPr>
        <w:t>12</w:t>
      </w:r>
      <w:r>
        <w:rPr>
          <w:rFonts w:hint="eastAsia" w:ascii="宋体" w:hAnsi="宋体" w:eastAsia="宋体" w:cs="宋体"/>
          <w:sz w:val="36"/>
        </w:rPr>
        <w:t>月</w:t>
      </w:r>
      <w:r>
        <w:rPr>
          <w:rFonts w:hint="eastAsia" w:ascii="宋体" w:hAnsi="宋体" w:eastAsia="宋体" w:cs="宋体"/>
          <w:sz w:val="36"/>
          <w:lang w:val="en-US" w:eastAsia="zh-CN"/>
        </w:rPr>
        <w:t>27</w:t>
      </w:r>
      <w:r>
        <w:rPr>
          <w:rFonts w:hint="eastAsia" w:ascii="宋体" w:hAnsi="宋体" w:eastAsia="宋体" w:cs="宋体"/>
          <w:sz w:val="36"/>
        </w:rPr>
        <w:t>日</w:t>
      </w:r>
    </w:p>
    <w:p>
      <w:pPr>
        <w:pStyle w:val="9"/>
        <w:rPr>
          <w:rFonts w:ascii="宋体" w:hAnsi="宋体" w:eastAsia="宋体" w:cs="宋体"/>
          <w:sz w:val="36"/>
        </w:rPr>
      </w:pPr>
    </w:p>
    <w:p>
      <w:pPr>
        <w:pStyle w:val="9"/>
        <w:rPr>
          <w:rFonts w:ascii="宋体" w:hAnsi="宋体" w:eastAsia="宋体" w:cs="宋体"/>
          <w:sz w:val="36"/>
        </w:rPr>
      </w:pPr>
    </w:p>
    <w:p>
      <w:pPr>
        <w:pStyle w:val="9"/>
        <w:rPr>
          <w:rFonts w:ascii="宋体" w:hAnsi="宋体" w:eastAsia="宋体" w:cs="宋体"/>
          <w:sz w:val="36"/>
        </w:rPr>
      </w:pPr>
    </w:p>
    <w:p>
      <w:pPr>
        <w:pStyle w:val="9"/>
        <w:rPr>
          <w:rFonts w:ascii="宋体" w:hAnsi="宋体" w:eastAsia="宋体" w:cs="宋体"/>
          <w:sz w:val="36"/>
        </w:rPr>
      </w:pPr>
    </w:p>
    <w:p>
      <w:pPr>
        <w:pStyle w:val="19"/>
        <w:jc w:val="both"/>
        <w:rPr>
          <w:rFonts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ascii="宋体" w:hAnsi="宋体" w:cs="宋体"/>
          <w:sz w:val="24"/>
        </w:rPr>
      </w:pPr>
      <w:r>
        <w:rPr>
          <w:rFonts w:hint="eastAsia" w:ascii="宋体" w:hAnsi="宋体" w:cs="宋体"/>
          <w:sz w:val="24"/>
        </w:rPr>
        <w:t>遴选编号：2021-ETLXXB-009</w:t>
      </w:r>
    </w:p>
    <w:p>
      <w:pPr>
        <w:pStyle w:val="20"/>
        <w:numPr>
          <w:ilvl w:val="0"/>
          <w:numId w:val="1"/>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根据医院有关规定，经院主管部门批准，我院拟对罕见病临床科研管理项目现以院内遴选采购的方式就下列所提供的货物和相关服务进行采购。</w:t>
      </w:r>
    </w:p>
    <w:p>
      <w:pPr>
        <w:pStyle w:val="20"/>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2"/>
        <w:tblW w:w="8037" w:type="dxa"/>
        <w:tblInd w:w="777" w:type="dxa"/>
        <w:tblLayout w:type="autofit"/>
        <w:tblCellMar>
          <w:top w:w="0" w:type="dxa"/>
          <w:left w:w="108" w:type="dxa"/>
          <w:bottom w:w="0" w:type="dxa"/>
          <w:right w:w="108" w:type="dxa"/>
        </w:tblCellMar>
      </w:tblPr>
      <w:tblGrid>
        <w:gridCol w:w="1377"/>
        <w:gridCol w:w="2960"/>
        <w:gridCol w:w="1776"/>
        <w:gridCol w:w="1924"/>
      </w:tblGrid>
      <w:tr>
        <w:tblPrEx>
          <w:tblCellMar>
            <w:top w:w="0" w:type="dxa"/>
            <w:left w:w="108" w:type="dxa"/>
            <w:bottom w:w="0" w:type="dxa"/>
            <w:right w:w="108" w:type="dxa"/>
          </w:tblCellMar>
        </w:tblPrEx>
        <w:trPr>
          <w:trHeight w:val="402" w:hRule="exact"/>
        </w:trPr>
        <w:tc>
          <w:tcPr>
            <w:tcW w:w="13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序号</w:t>
            </w:r>
          </w:p>
        </w:tc>
        <w:tc>
          <w:tcPr>
            <w:tcW w:w="29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项目名称</w:t>
            </w:r>
          </w:p>
        </w:tc>
        <w:tc>
          <w:tcPr>
            <w:tcW w:w="17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数量</w:t>
            </w:r>
          </w:p>
        </w:tc>
        <w:tc>
          <w:tcPr>
            <w:tcW w:w="192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项目预算（元）</w:t>
            </w:r>
          </w:p>
        </w:tc>
      </w:tr>
      <w:tr>
        <w:tblPrEx>
          <w:tblCellMar>
            <w:top w:w="0" w:type="dxa"/>
            <w:left w:w="108" w:type="dxa"/>
            <w:bottom w:w="0" w:type="dxa"/>
            <w:right w:w="108" w:type="dxa"/>
          </w:tblCellMar>
        </w:tblPrEx>
        <w:trPr>
          <w:trHeight w:val="635" w:hRule="exact"/>
        </w:trPr>
        <w:tc>
          <w:tcPr>
            <w:tcW w:w="13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1</w:t>
            </w:r>
          </w:p>
        </w:tc>
        <w:tc>
          <w:tcPr>
            <w:tcW w:w="29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罕见病临床科研管理</w:t>
            </w:r>
          </w:p>
        </w:tc>
        <w:tc>
          <w:tcPr>
            <w:tcW w:w="17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1</w:t>
            </w:r>
          </w:p>
        </w:tc>
        <w:tc>
          <w:tcPr>
            <w:tcW w:w="192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Cs w:val="21"/>
              </w:rPr>
            </w:pPr>
            <w:r>
              <w:rPr>
                <w:rFonts w:hint="eastAsia" w:ascii="宋体" w:hAnsi="宋体" w:cs="宋体"/>
                <w:szCs w:val="21"/>
              </w:rPr>
              <w:t>160000.00</w:t>
            </w:r>
          </w:p>
        </w:tc>
      </w:tr>
    </w:tbl>
    <w:p>
      <w:pPr>
        <w:pStyle w:val="20"/>
        <w:autoSpaceDE w:val="0"/>
        <w:autoSpaceDN w:val="0"/>
        <w:spacing w:line="360" w:lineRule="exact"/>
        <w:ind w:left="105" w:leftChars="50" w:firstLine="360" w:firstLineChars="150"/>
        <w:jc w:val="left"/>
        <w:rPr>
          <w:rFonts w:ascii="宋体" w:hAnsi="宋体" w:eastAsia="宋体" w:cs="宋体"/>
          <w:sz w:val="24"/>
          <w:szCs w:val="24"/>
        </w:rPr>
      </w:pPr>
      <w:r>
        <w:rPr>
          <w:rFonts w:hint="eastAsia" w:ascii="宋体" w:hAnsi="宋体" w:eastAsia="宋体" w:cs="宋体"/>
          <w:sz w:val="24"/>
          <w:szCs w:val="24"/>
        </w:rPr>
        <w:t>说明：1、超过预算的投标将被否决。</w:t>
      </w:r>
    </w:p>
    <w:p>
      <w:pPr>
        <w:pStyle w:val="20"/>
        <w:numPr>
          <w:ilvl w:val="0"/>
          <w:numId w:val="1"/>
        </w:numPr>
        <w:autoSpaceDE w:val="0"/>
        <w:autoSpaceDN w:val="0"/>
        <w:spacing w:line="360" w:lineRule="exact"/>
        <w:jc w:val="left"/>
        <w:rPr>
          <w:rFonts w:ascii="宋体" w:hAnsi="宋体" w:eastAsia="宋体" w:cs="宋体"/>
          <w:b/>
          <w:sz w:val="24"/>
          <w:szCs w:val="24"/>
        </w:rPr>
      </w:pPr>
      <w:bookmarkStart w:id="1" w:name="_Toc461613082"/>
      <w:bookmarkStart w:id="2" w:name="_Toc461613010"/>
      <w:r>
        <w:rPr>
          <w:rFonts w:hint="eastAsia" w:ascii="宋体" w:hAnsi="宋体" w:eastAsia="宋体" w:cs="宋体"/>
          <w:b/>
          <w:sz w:val="24"/>
          <w:szCs w:val="24"/>
        </w:rPr>
        <w:t>遴选响应文件要求</w:t>
      </w:r>
    </w:p>
    <w:p>
      <w:pPr>
        <w:pStyle w:val="20"/>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2021年</w:t>
      </w:r>
      <w:r>
        <w:rPr>
          <w:rFonts w:hint="eastAsia" w:ascii="宋体" w:hAnsi="宋体" w:eastAsia="宋体" w:cs="宋体"/>
          <w:b/>
          <w:sz w:val="24"/>
          <w:szCs w:val="24"/>
          <w:lang w:val="en-US" w:eastAsia="zh-CN"/>
        </w:rPr>
        <w:t>12</w:t>
      </w:r>
      <w:r>
        <w:rPr>
          <w:rFonts w:hint="eastAsia" w:ascii="宋体" w:hAnsi="宋体" w:eastAsia="宋体" w:cs="宋体"/>
          <w:b/>
          <w:sz w:val="24"/>
          <w:szCs w:val="24"/>
        </w:rPr>
        <w:t>月</w:t>
      </w:r>
      <w:r>
        <w:rPr>
          <w:rFonts w:hint="eastAsia" w:ascii="宋体" w:hAnsi="宋体" w:eastAsia="宋体" w:cs="宋体"/>
          <w:b/>
          <w:sz w:val="24"/>
          <w:szCs w:val="24"/>
          <w:lang w:val="en-US" w:eastAsia="zh-CN"/>
        </w:rPr>
        <w:t>27</w:t>
      </w:r>
      <w:r>
        <w:rPr>
          <w:rFonts w:hint="eastAsia" w:ascii="宋体" w:hAnsi="宋体" w:eastAsia="宋体" w:cs="宋体"/>
          <w:b/>
          <w:sz w:val="24"/>
          <w:szCs w:val="24"/>
        </w:rPr>
        <w:t>日起至2021年</w:t>
      </w:r>
      <w:r>
        <w:rPr>
          <w:rFonts w:hint="eastAsia" w:ascii="宋体" w:hAnsi="宋体" w:eastAsia="宋体" w:cs="宋体"/>
          <w:b/>
          <w:sz w:val="24"/>
          <w:szCs w:val="24"/>
          <w:lang w:val="en-US" w:eastAsia="zh-CN"/>
        </w:rPr>
        <w:t>1</w:t>
      </w:r>
      <w:r>
        <w:rPr>
          <w:rFonts w:hint="eastAsia" w:ascii="宋体" w:hAnsi="宋体" w:eastAsia="宋体" w:cs="宋体"/>
          <w:b/>
          <w:sz w:val="24"/>
          <w:szCs w:val="24"/>
        </w:rPr>
        <w:t>月</w:t>
      </w:r>
      <w:r>
        <w:rPr>
          <w:rFonts w:hint="eastAsia" w:ascii="宋体" w:hAnsi="宋体" w:eastAsia="宋体" w:cs="宋体"/>
          <w:b/>
          <w:sz w:val="24"/>
          <w:szCs w:val="24"/>
          <w:lang w:val="en-US" w:eastAsia="zh-CN"/>
        </w:rPr>
        <w:t>4</w:t>
      </w:r>
      <w:r>
        <w:rPr>
          <w:rFonts w:hint="eastAsia" w:ascii="宋体" w:hAnsi="宋体" w:eastAsia="宋体" w:cs="宋体"/>
          <w:b/>
          <w:sz w:val="24"/>
          <w:szCs w:val="24"/>
        </w:rPr>
        <w:t>日</w:t>
      </w:r>
      <w:r>
        <w:rPr>
          <w:rFonts w:hint="eastAsia" w:ascii="宋体" w:hAnsi="宋体" w:eastAsia="宋体" w:cs="宋体"/>
          <w:sz w:val="24"/>
          <w:szCs w:val="24"/>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20"/>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cstate="print"/>
                    <a:stretch>
                      <a:fillRect/>
                    </a:stretch>
                  </pic:blipFill>
                  <pic:spPr>
                    <a:xfrm>
                      <a:off x="0" y="0"/>
                      <a:ext cx="4366260" cy="1298575"/>
                    </a:xfrm>
                    <a:prstGeom prst="rect">
                      <a:avLst/>
                    </a:prstGeom>
                    <a:noFill/>
                    <a:ln>
                      <a:noFill/>
                    </a:ln>
                  </pic:spPr>
                </pic:pic>
              </a:graphicData>
            </a:graphic>
          </wp:anchor>
        </w:drawing>
      </w:r>
    </w:p>
    <w:p>
      <w:pPr>
        <w:pStyle w:val="20"/>
        <w:autoSpaceDE w:val="0"/>
        <w:autoSpaceDN w:val="0"/>
        <w:spacing w:line="360" w:lineRule="exact"/>
        <w:ind w:firstLine="0"/>
        <w:jc w:val="left"/>
        <w:rPr>
          <w:rFonts w:ascii="宋体" w:hAnsi="宋体" w:eastAsia="宋体" w:cs="宋体"/>
          <w:sz w:val="24"/>
          <w:szCs w:val="24"/>
        </w:rPr>
      </w:pPr>
    </w:p>
    <w:p>
      <w:pPr>
        <w:pStyle w:val="20"/>
        <w:autoSpaceDE w:val="0"/>
        <w:autoSpaceDN w:val="0"/>
        <w:spacing w:line="360" w:lineRule="exact"/>
        <w:ind w:firstLine="0"/>
        <w:jc w:val="left"/>
        <w:rPr>
          <w:rFonts w:ascii="宋体" w:hAnsi="宋体" w:eastAsia="宋体" w:cs="宋体"/>
          <w:sz w:val="24"/>
          <w:szCs w:val="24"/>
        </w:rPr>
      </w:pPr>
    </w:p>
    <w:p>
      <w:pPr>
        <w:pStyle w:val="20"/>
        <w:autoSpaceDE w:val="0"/>
        <w:autoSpaceDN w:val="0"/>
        <w:spacing w:line="360" w:lineRule="exact"/>
        <w:ind w:firstLine="0"/>
        <w:jc w:val="left"/>
        <w:rPr>
          <w:rFonts w:ascii="宋体" w:hAnsi="宋体" w:eastAsia="宋体" w:cs="宋体"/>
          <w:sz w:val="24"/>
          <w:szCs w:val="24"/>
        </w:rPr>
      </w:pPr>
    </w:p>
    <w:p>
      <w:pPr>
        <w:pStyle w:val="20"/>
        <w:autoSpaceDE w:val="0"/>
        <w:autoSpaceDN w:val="0"/>
        <w:spacing w:line="360" w:lineRule="exact"/>
        <w:ind w:firstLine="0"/>
        <w:jc w:val="left"/>
        <w:rPr>
          <w:rFonts w:ascii="宋体" w:hAnsi="宋体" w:eastAsia="宋体" w:cs="宋体"/>
          <w:sz w:val="24"/>
          <w:szCs w:val="24"/>
        </w:rPr>
      </w:pPr>
    </w:p>
    <w:p>
      <w:pPr>
        <w:pStyle w:val="20"/>
        <w:autoSpaceDE w:val="0"/>
        <w:autoSpaceDN w:val="0"/>
        <w:spacing w:line="360" w:lineRule="exact"/>
        <w:ind w:firstLine="0"/>
        <w:jc w:val="left"/>
        <w:rPr>
          <w:rFonts w:ascii="宋体" w:hAnsi="宋体" w:eastAsia="宋体" w:cs="宋体"/>
          <w:sz w:val="24"/>
          <w:szCs w:val="24"/>
        </w:rPr>
      </w:pPr>
    </w:p>
    <w:p>
      <w:pPr>
        <w:pStyle w:val="20"/>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公司（企业）营业执照、法人代表授权书、遴选采购报价表、产品授权书、资格证明文件、系统详细的功能、售后服务承诺书、类似项目案例及其他一切有效证书的复印件加盖公司公章。</w:t>
      </w:r>
    </w:p>
    <w:p>
      <w:pPr>
        <w:pStyle w:val="20"/>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20"/>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资格证明文件包括：供应商的资格文件（三证合一的企业法人营业执照、法人代表授权书）等相关证明的复印件。（附件2法人授权格式）</w:t>
      </w:r>
    </w:p>
    <w:p>
      <w:pPr>
        <w:pStyle w:val="20"/>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设备详细配置：包括提供的信息系统详细的功能清单及技术参数响应情况，并填写技术参数偏离表（附件3）。</w:t>
      </w:r>
    </w:p>
    <w:p>
      <w:pPr>
        <w:pStyle w:val="20"/>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3" w:name="_Toc461613013"/>
      <w:bookmarkStart w:id="4" w:name="_Toc461613085"/>
    </w:p>
    <w:bookmarkEnd w:id="3"/>
    <w:bookmarkEnd w:id="4"/>
    <w:p>
      <w:pPr>
        <w:pStyle w:val="20"/>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用户名单：同类项目案例的用户名单，并提供联系人及联系方式（附件4）</w:t>
      </w:r>
    </w:p>
    <w:p>
      <w:pPr>
        <w:pStyle w:val="20"/>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供应商需提供在“信用中国”网站（www.creditchina.gov.cn）上的查询结果截图（详见遴选文件中附件5）；</w:t>
      </w:r>
    </w:p>
    <w:p>
      <w:pPr>
        <w:pStyle w:val="20"/>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无重大违法记录承诺书。（详见遴选文件中附件6）</w:t>
      </w:r>
    </w:p>
    <w:p>
      <w:pPr>
        <w:pStyle w:val="20"/>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无行贿犯罪记录声明函（格式）。（附件7）</w:t>
      </w:r>
    </w:p>
    <w:p>
      <w:pPr>
        <w:pStyle w:val="20"/>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u w:val="single"/>
        </w:rPr>
        <w:t>开标后</w:t>
      </w:r>
      <w:r>
        <w:rPr>
          <w:rFonts w:hint="eastAsia" w:ascii="宋体" w:hAnsi="宋体" w:eastAsia="宋体" w:cs="宋体"/>
          <w:sz w:val="24"/>
          <w:szCs w:val="24"/>
        </w:rPr>
        <w:t>发送至邮箱</w:t>
      </w:r>
      <w:r>
        <w:fldChar w:fldCharType="begin"/>
      </w:r>
      <w:r>
        <w:instrText xml:space="preserve"> HYPERLINK "mailto:liyi@shchildren.com.cn" </w:instrText>
      </w:r>
      <w:r>
        <w:fldChar w:fldCharType="separate"/>
      </w:r>
      <w:r>
        <w:rPr>
          <w:rStyle w:val="16"/>
          <w:rFonts w:ascii="宋体"/>
          <w:szCs w:val="21"/>
        </w:rPr>
        <w:t>liyi@shchildren.com.cn</w:t>
      </w:r>
      <w:r>
        <w:rPr>
          <w:rStyle w:val="16"/>
          <w:rFonts w:ascii="宋体"/>
          <w:szCs w:val="21"/>
        </w:rPr>
        <w:fldChar w:fldCharType="end"/>
      </w:r>
      <w:r>
        <w:rPr>
          <w:rFonts w:hint="eastAsia" w:ascii="宋体" w:hAnsi="宋体" w:eastAsia="宋体" w:cs="宋体"/>
          <w:sz w:val="24"/>
          <w:szCs w:val="24"/>
        </w:rPr>
        <w:t>）。</w:t>
      </w:r>
    </w:p>
    <w:p>
      <w:pPr>
        <w:pStyle w:val="20"/>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20"/>
        <w:autoSpaceDE w:val="0"/>
        <w:autoSpaceDN w:val="0"/>
        <w:spacing w:line="360" w:lineRule="exact"/>
        <w:ind w:leftChars="200" w:firstLine="0"/>
        <w:rPr>
          <w:rFonts w:ascii="宋体" w:hAnsi="宋体" w:eastAsia="宋体" w:cs="宋体"/>
          <w:sz w:val="24"/>
          <w:szCs w:val="24"/>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上海市普陀区泸定路355号1楼</w:t>
      </w:r>
    </w:p>
    <w:p>
      <w:pPr>
        <w:pStyle w:val="20"/>
        <w:autoSpaceDE w:val="0"/>
        <w:autoSpaceDN w:val="0"/>
        <w:spacing w:line="360" w:lineRule="exact"/>
        <w:ind w:leftChars="200" w:firstLine="0"/>
        <w:rPr>
          <w:rFonts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20"/>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6"/>
    <w:bookmarkEnd w:id="7"/>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6"/>
          <w:rFonts w:ascii="宋体"/>
          <w:szCs w:val="21"/>
        </w:rPr>
        <w:t>liyi@shchildren.com.cn</w:t>
      </w:r>
      <w:r>
        <w:rPr>
          <w:rFonts w:ascii="宋体"/>
          <w:szCs w:val="21"/>
        </w:rPr>
        <w:fldChar w:fldCharType="end"/>
      </w:r>
    </w:p>
    <w:p>
      <w:pPr>
        <w:pStyle w:val="20"/>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20"/>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所有遴选响应文件务必排版胶装并按要求密封后于2021年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4</w:t>
      </w:r>
      <w:r>
        <w:rPr>
          <w:rFonts w:hint="eastAsia" w:ascii="宋体" w:hAnsi="宋体" w:eastAsia="宋体" w:cs="宋体"/>
          <w:sz w:val="24"/>
          <w:szCs w:val="24"/>
        </w:rPr>
        <w:t>日北京时间</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val="en-US" w:eastAsia="zh-CN"/>
        </w:rPr>
        <w:t>00</w:t>
      </w:r>
      <w:r>
        <w:rPr>
          <w:rFonts w:hint="eastAsia" w:ascii="宋体" w:hAnsi="宋体" w:eastAsia="宋体" w:cs="宋体"/>
          <w:sz w:val="24"/>
          <w:szCs w:val="24"/>
        </w:rPr>
        <w:t>前提交上海市泸定路355号住院部503会议室，并于</w:t>
      </w:r>
      <w:r>
        <w:rPr>
          <w:rFonts w:hint="eastAsia" w:ascii="宋体" w:hAnsi="宋体" w:eastAsia="宋体" w:cs="宋体"/>
          <w:sz w:val="24"/>
          <w:szCs w:val="24"/>
          <w:u w:val="single"/>
        </w:rPr>
        <w:t>2021年</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日北京时间</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single"/>
        </w:rPr>
        <w:t>在上海市泸定路355号住院部503会议室</w:t>
      </w:r>
      <w:r>
        <w:rPr>
          <w:rFonts w:hint="eastAsia" w:ascii="宋体" w:hAnsi="宋体" w:eastAsia="宋体" w:cs="宋体"/>
          <w:sz w:val="24"/>
          <w:szCs w:val="24"/>
        </w:rPr>
        <w:t>举行遴选开标，届时投标人可派代表出席开标会。</w:t>
      </w:r>
    </w:p>
    <w:p>
      <w:pPr>
        <w:pStyle w:val="20"/>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20"/>
        <w:numPr>
          <w:ilvl w:val="0"/>
          <w:numId w:val="3"/>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遴选响应文件中不满足技术规格中加注</w:t>
      </w:r>
      <w:r>
        <w:rPr>
          <w:rFonts w:hint="eastAsia" w:ascii="宋体" w:hAnsi="宋体" w:eastAsia="宋体" w:cs="宋体"/>
          <w:sz w:val="24"/>
        </w:rPr>
        <w:t>“★”</w:t>
      </w:r>
      <w:r>
        <w:rPr>
          <w:rFonts w:hint="eastAsia" w:ascii="宋体" w:hAnsi="宋体" w:eastAsia="宋体" w:cs="宋体"/>
          <w:sz w:val="24"/>
          <w:szCs w:val="24"/>
        </w:rPr>
        <w:t>要求的视为投标</w:t>
      </w:r>
      <w:bookmarkStart w:id="11" w:name="_GoBack"/>
      <w:bookmarkEnd w:id="11"/>
      <w:r>
        <w:rPr>
          <w:rFonts w:hint="eastAsia" w:ascii="宋体" w:hAnsi="宋体" w:eastAsia="宋体" w:cs="宋体"/>
          <w:sz w:val="24"/>
          <w:szCs w:val="24"/>
        </w:rPr>
        <w:t>无效；</w:t>
      </w:r>
    </w:p>
    <w:p>
      <w:pPr>
        <w:pStyle w:val="20"/>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“▲”号的为关键技术参数，对任一关键技术参数低于遴选文件要求，其技术得分为0分。</w:t>
      </w:r>
    </w:p>
    <w:p>
      <w:pPr>
        <w:pStyle w:val="20"/>
        <w:numPr>
          <w:ilvl w:val="0"/>
          <w:numId w:val="4"/>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 xml:space="preserve">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具体评分标准如下： </w:t>
      </w:r>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948"/>
        <w:gridCol w:w="5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4" w:type="pct"/>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vAlign w:val="center"/>
          </w:tcPr>
          <w:p>
            <w:pPr>
              <w:spacing w:line="360" w:lineRule="auto"/>
              <w:jc w:val="left"/>
              <w:rPr>
                <w:rFonts w:ascii="宋体" w:hAnsi="宋体" w:cs="宋体"/>
                <w:b/>
                <w:spacing w:val="8"/>
                <w:kern w:val="0"/>
                <w:sz w:val="24"/>
              </w:rPr>
            </w:pPr>
            <w:r>
              <w:rPr>
                <w:rFonts w:hint="eastAsia" w:ascii="宋体" w:hAnsi="宋体"/>
                <w:sz w:val="24"/>
              </w:rPr>
              <w:t>50分</w:t>
            </w:r>
          </w:p>
        </w:tc>
        <w:tc>
          <w:tcPr>
            <w:tcW w:w="3434" w:type="pct"/>
            <w:vAlign w:val="center"/>
          </w:tcPr>
          <w:p>
            <w:pPr>
              <w:spacing w:line="360" w:lineRule="auto"/>
              <w:jc w:val="left"/>
              <w:rPr>
                <w:rFonts w:ascii="宋体" w:hAnsi="宋体"/>
                <w:sz w:val="24"/>
              </w:rPr>
            </w:pPr>
            <w:r>
              <w:rPr>
                <w:rFonts w:hint="eastAsia" w:ascii="宋体" w:hAnsi="宋体"/>
                <w:sz w:val="24"/>
              </w:rPr>
              <w:t>N＝50*所有投标中的有效最低投标报价/合格投标人的投标报价。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vAlign w:val="center"/>
          </w:tcPr>
          <w:p>
            <w:pPr>
              <w:spacing w:line="360" w:lineRule="auto"/>
              <w:jc w:val="left"/>
              <w:rPr>
                <w:rFonts w:ascii="宋体" w:hAnsi="宋体"/>
                <w:sz w:val="24"/>
              </w:rPr>
            </w:pPr>
            <w:r>
              <w:rPr>
                <w:rFonts w:hint="eastAsia" w:ascii="宋体" w:hAnsi="宋体"/>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pPr>
              <w:spacing w:line="360" w:lineRule="auto"/>
              <w:jc w:val="left"/>
              <w:rPr>
                <w:rFonts w:ascii="宋体" w:hAnsi="宋体"/>
                <w:sz w:val="24"/>
              </w:rPr>
            </w:pPr>
            <w:r>
              <w:rPr>
                <w:rFonts w:hint="eastAsia" w:ascii="宋体" w:hAnsi="宋体"/>
                <w:sz w:val="24"/>
              </w:rPr>
              <w:t>1、综合实力</w:t>
            </w:r>
          </w:p>
        </w:tc>
        <w:tc>
          <w:tcPr>
            <w:tcW w:w="552" w:type="pct"/>
            <w:vAlign w:val="center"/>
          </w:tcPr>
          <w:p>
            <w:pPr>
              <w:spacing w:line="360" w:lineRule="auto"/>
              <w:jc w:val="left"/>
              <w:rPr>
                <w:rFonts w:ascii="宋体" w:hAnsi="宋体"/>
                <w:sz w:val="24"/>
              </w:rPr>
            </w:pPr>
            <w:r>
              <w:rPr>
                <w:rFonts w:hint="eastAsia" w:ascii="宋体" w:hAnsi="宋体"/>
                <w:sz w:val="24"/>
              </w:rPr>
              <w:t>5分</w:t>
            </w:r>
          </w:p>
        </w:tc>
        <w:tc>
          <w:tcPr>
            <w:tcW w:w="3434" w:type="pct"/>
          </w:tcPr>
          <w:p>
            <w:pPr>
              <w:spacing w:line="360" w:lineRule="auto"/>
              <w:jc w:val="left"/>
              <w:rPr>
                <w:rFonts w:ascii="宋体" w:hAnsi="宋体"/>
                <w:sz w:val="24"/>
              </w:rPr>
            </w:pPr>
            <w:r>
              <w:rPr>
                <w:rFonts w:hint="eastAsia" w:ascii="宋体" w:hAnsi="宋体"/>
                <w:sz w:val="24"/>
              </w:rPr>
              <w:t>根据投标人的所获资质及荣誉、财务能力、投标产品情况等综合评定。</w:t>
            </w:r>
          </w:p>
          <w:p>
            <w:pPr>
              <w:spacing w:line="360" w:lineRule="auto"/>
              <w:jc w:val="left"/>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pPr>
              <w:spacing w:line="360" w:lineRule="auto"/>
              <w:jc w:val="left"/>
              <w:rPr>
                <w:rFonts w:ascii="宋体" w:hAnsi="宋体"/>
                <w:sz w:val="24"/>
              </w:rPr>
            </w:pPr>
            <w:r>
              <w:rPr>
                <w:rFonts w:hint="eastAsia" w:ascii="宋体" w:hAnsi="宋体"/>
                <w:sz w:val="24"/>
              </w:rPr>
              <w:t>2、类似项目经验</w:t>
            </w:r>
          </w:p>
        </w:tc>
        <w:tc>
          <w:tcPr>
            <w:tcW w:w="552" w:type="pct"/>
            <w:vAlign w:val="center"/>
          </w:tcPr>
          <w:p>
            <w:pPr>
              <w:spacing w:line="360" w:lineRule="auto"/>
              <w:jc w:val="left"/>
              <w:rPr>
                <w:rFonts w:ascii="宋体" w:hAnsi="宋体"/>
                <w:sz w:val="24"/>
              </w:rPr>
            </w:pPr>
            <w:r>
              <w:rPr>
                <w:rFonts w:hint="eastAsia" w:ascii="宋体" w:hAnsi="宋体"/>
                <w:sz w:val="24"/>
              </w:rPr>
              <w:t>5分</w:t>
            </w:r>
          </w:p>
        </w:tc>
        <w:tc>
          <w:tcPr>
            <w:tcW w:w="3434" w:type="pct"/>
          </w:tcPr>
          <w:p>
            <w:pPr>
              <w:spacing w:line="360" w:lineRule="auto"/>
              <w:rPr>
                <w:rFonts w:ascii="宋体" w:hAnsi="宋体"/>
                <w:sz w:val="24"/>
              </w:rPr>
            </w:pPr>
            <w:r>
              <w:rPr>
                <w:rFonts w:hint="eastAsia" w:ascii="宋体" w:hAnsi="宋体"/>
                <w:sz w:val="24"/>
              </w:rPr>
              <w:t>投标人自2018年1月1日以来承接的类似相关业务经验证明(以合同复印件为准，复印件中需体现合同的签约主体、项目名称及内容、签约日期等合同要素的相关内容，否则将不予认可。)。</w:t>
            </w:r>
          </w:p>
          <w:p>
            <w:pPr>
              <w:spacing w:line="360" w:lineRule="auto"/>
              <w:rPr>
                <w:rFonts w:ascii="宋体" w:hAnsi="宋体"/>
                <w:sz w:val="24"/>
              </w:rPr>
            </w:pPr>
            <w:r>
              <w:rPr>
                <w:rFonts w:hint="eastAsia" w:ascii="宋体" w:hAnsi="宋体"/>
                <w:sz w:val="24"/>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vAlign w:val="center"/>
          </w:tcPr>
          <w:p>
            <w:pPr>
              <w:spacing w:line="360" w:lineRule="auto"/>
              <w:jc w:val="left"/>
              <w:rPr>
                <w:rFonts w:ascii="宋体" w:hAnsi="宋体"/>
                <w:sz w:val="24"/>
              </w:rPr>
            </w:pPr>
            <w:r>
              <w:rPr>
                <w:rFonts w:hint="eastAsia" w:ascii="宋体" w:hAnsi="宋体"/>
                <w:sz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tcPr>
          <w:p>
            <w:pPr>
              <w:spacing w:line="360" w:lineRule="auto"/>
              <w:jc w:val="left"/>
              <w:rPr>
                <w:rFonts w:ascii="宋体" w:hAnsi="宋体"/>
                <w:sz w:val="24"/>
              </w:rPr>
            </w:pPr>
            <w:r>
              <w:rPr>
                <w:rFonts w:hint="eastAsia" w:ascii="宋体" w:hAnsi="宋体"/>
                <w:sz w:val="24"/>
              </w:rPr>
              <w:t>1、需求响应情况</w:t>
            </w:r>
          </w:p>
        </w:tc>
        <w:tc>
          <w:tcPr>
            <w:tcW w:w="552" w:type="pct"/>
            <w:vAlign w:val="center"/>
          </w:tcPr>
          <w:p>
            <w:pPr>
              <w:spacing w:line="360" w:lineRule="auto"/>
              <w:jc w:val="left"/>
              <w:rPr>
                <w:rFonts w:ascii="宋体" w:hAnsi="宋体"/>
                <w:sz w:val="24"/>
              </w:rPr>
            </w:pPr>
            <w:r>
              <w:rPr>
                <w:rFonts w:hint="eastAsia" w:ascii="宋体" w:hAnsi="宋体"/>
                <w:sz w:val="24"/>
              </w:rPr>
              <w:t>20分</w:t>
            </w:r>
          </w:p>
        </w:tc>
        <w:tc>
          <w:tcPr>
            <w:tcW w:w="3434" w:type="pct"/>
            <w:vAlign w:val="center"/>
          </w:tcPr>
          <w:p>
            <w:pPr>
              <w:widowControl/>
              <w:spacing w:line="360" w:lineRule="auto"/>
              <w:rPr>
                <w:rFonts w:ascii="宋体" w:hAnsi="宋体" w:cs="宋体"/>
                <w:sz w:val="24"/>
              </w:rPr>
            </w:pPr>
            <w:r>
              <w:rPr>
                <w:rFonts w:hint="eastAsia" w:ascii="宋体" w:hAnsi="宋体" w:cs="宋体"/>
                <w:sz w:val="24"/>
              </w:rPr>
              <w:t>在满足招标人主要要求的前提下，比较各投标人对技术要求条款响应情况，并结合投标人对技术要求条款偏离情况进行打分。如有标注“▲”号的技术指标低于或不满足招标文件要求，本项不得分。</w:t>
            </w:r>
          </w:p>
          <w:p>
            <w:pPr>
              <w:widowControl/>
              <w:spacing w:line="360" w:lineRule="auto"/>
              <w:rPr>
                <w:rFonts w:ascii="宋体" w:hAnsi="宋体"/>
                <w:sz w:val="24"/>
              </w:rPr>
            </w:pPr>
            <w:r>
              <w:rPr>
                <w:rFonts w:hint="eastAsia" w:ascii="宋体" w:hAnsi="宋体" w:cs="宋体"/>
                <w:sz w:val="24"/>
              </w:rPr>
              <w:t>最好，得13分-20分（含）；一般，得6分-13分（含）；较差0分（含）-6分（含）。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012" w:type="pct"/>
          </w:tcPr>
          <w:p>
            <w:pPr>
              <w:spacing w:line="360" w:lineRule="auto"/>
              <w:jc w:val="left"/>
              <w:rPr>
                <w:rFonts w:ascii="宋体" w:hAnsi="宋体"/>
                <w:snapToGrid w:val="0"/>
                <w:kern w:val="0"/>
                <w:sz w:val="24"/>
              </w:rPr>
            </w:pPr>
            <w:r>
              <w:rPr>
                <w:rFonts w:hint="eastAsia" w:ascii="宋体" w:hAnsi="宋体"/>
                <w:sz w:val="24"/>
              </w:rPr>
              <w:t>2、</w:t>
            </w:r>
            <w:r>
              <w:rPr>
                <w:rFonts w:hint="eastAsia" w:ascii="宋体" w:hAnsi="宋体" w:cs="宋体"/>
                <w:color w:val="000000"/>
                <w:sz w:val="24"/>
              </w:rPr>
              <w:t>实施方案</w:t>
            </w:r>
          </w:p>
        </w:tc>
        <w:tc>
          <w:tcPr>
            <w:tcW w:w="552" w:type="pct"/>
            <w:vAlign w:val="center"/>
          </w:tcPr>
          <w:p>
            <w:pPr>
              <w:spacing w:line="360" w:lineRule="auto"/>
              <w:jc w:val="left"/>
              <w:rPr>
                <w:rFonts w:ascii="宋体" w:hAnsi="宋体"/>
                <w:sz w:val="24"/>
              </w:rPr>
            </w:pPr>
            <w:r>
              <w:rPr>
                <w:rFonts w:hint="eastAsia" w:ascii="宋体" w:hAnsi="宋体"/>
                <w:sz w:val="24"/>
              </w:rPr>
              <w:t>10分</w:t>
            </w:r>
          </w:p>
        </w:tc>
        <w:tc>
          <w:tcPr>
            <w:tcW w:w="3434" w:type="pct"/>
            <w:vAlign w:val="center"/>
          </w:tcPr>
          <w:p>
            <w:pPr>
              <w:spacing w:line="360" w:lineRule="auto"/>
              <w:jc w:val="left"/>
              <w:rPr>
                <w:rFonts w:ascii="宋体" w:hAnsi="宋体" w:cs="宋体"/>
                <w:sz w:val="24"/>
              </w:rPr>
            </w:pPr>
            <w:r>
              <w:rPr>
                <w:rFonts w:hint="eastAsia" w:ascii="宋体" w:hAnsi="宋体" w:cs="宋体"/>
                <w:sz w:val="24"/>
              </w:rPr>
              <w:t>在满足招标人的服务要求及标准的前提下，比较各投标人提交的实施方案的完整性、安全性和专业性，实施团队成员的经验、水平，人员配备及进度保证等。</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tcPr>
          <w:p>
            <w:pPr>
              <w:spacing w:line="360" w:lineRule="auto"/>
              <w:jc w:val="left"/>
              <w:rPr>
                <w:rFonts w:ascii="宋体" w:hAnsi="宋体"/>
                <w:sz w:val="24"/>
              </w:rPr>
            </w:pPr>
            <w:r>
              <w:rPr>
                <w:rFonts w:hint="eastAsia" w:ascii="宋体" w:hAnsi="宋体"/>
                <w:sz w:val="24"/>
              </w:rPr>
              <w:t>3、</w:t>
            </w:r>
            <w:r>
              <w:rPr>
                <w:rFonts w:hint="eastAsia" w:ascii="宋体" w:hAnsi="宋体" w:cs="宋体"/>
                <w:color w:val="000000"/>
                <w:sz w:val="24"/>
              </w:rPr>
              <w:t>售后服务及培训</w:t>
            </w:r>
          </w:p>
        </w:tc>
        <w:tc>
          <w:tcPr>
            <w:tcW w:w="552" w:type="pct"/>
            <w:vAlign w:val="center"/>
          </w:tcPr>
          <w:p>
            <w:pPr>
              <w:spacing w:line="360" w:lineRule="auto"/>
              <w:jc w:val="left"/>
              <w:rPr>
                <w:rFonts w:ascii="宋体" w:hAnsi="宋体"/>
                <w:sz w:val="24"/>
              </w:rPr>
            </w:pPr>
            <w:r>
              <w:rPr>
                <w:rFonts w:hint="eastAsia" w:ascii="宋体" w:hAnsi="宋体"/>
                <w:sz w:val="24"/>
              </w:rPr>
              <w:t>10分</w:t>
            </w:r>
          </w:p>
        </w:tc>
        <w:tc>
          <w:tcPr>
            <w:tcW w:w="3434" w:type="pct"/>
            <w:vAlign w:val="center"/>
          </w:tcPr>
          <w:p>
            <w:pPr>
              <w:spacing w:line="360" w:lineRule="auto"/>
              <w:jc w:val="left"/>
              <w:rPr>
                <w:rFonts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bl>
    <w:p>
      <w:pPr>
        <w:pStyle w:val="20"/>
        <w:numPr>
          <w:ilvl w:val="0"/>
          <w:numId w:val="1"/>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widowControl/>
        <w:tabs>
          <w:tab w:val="left" w:pos="900"/>
          <w:tab w:val="left" w:pos="1276"/>
          <w:tab w:val="left" w:pos="1985"/>
        </w:tabs>
        <w:spacing w:line="380" w:lineRule="exact"/>
        <w:ind w:left="420"/>
        <w:rPr>
          <w:rFonts w:ascii="宋体" w:hAnsi="宋体" w:cs="宋体"/>
          <w:sz w:val="24"/>
        </w:rPr>
      </w:pPr>
      <w:r>
        <w:rPr>
          <w:rFonts w:hint="eastAsia" w:ascii="宋体" w:hAnsi="宋体" w:cs="宋体"/>
          <w:sz w:val="24"/>
        </w:rPr>
        <w:t>1)双方签订合同后的30个工作日内，甲方收到乙方开具的发票，向乙方支付合同总价的30％。</w:t>
      </w:r>
    </w:p>
    <w:p>
      <w:pPr>
        <w:widowControl/>
        <w:tabs>
          <w:tab w:val="left" w:pos="900"/>
          <w:tab w:val="left" w:pos="1276"/>
          <w:tab w:val="left" w:pos="1985"/>
        </w:tabs>
        <w:spacing w:line="380" w:lineRule="exact"/>
        <w:ind w:left="420"/>
        <w:rPr>
          <w:rFonts w:ascii="宋体" w:hAnsi="宋体" w:cs="宋体"/>
          <w:sz w:val="24"/>
        </w:rPr>
      </w:pPr>
      <w:r>
        <w:rPr>
          <w:rFonts w:hint="eastAsia" w:ascii="宋体" w:hAnsi="宋体" w:cs="宋体"/>
          <w:sz w:val="24"/>
        </w:rPr>
        <w:t>2)设备到货后双方在完成软件验收后的30个工作日内，甲方收到乙方开具的发票，甲方向乙方支付合同总价剩余的60％。</w:t>
      </w:r>
    </w:p>
    <w:p>
      <w:pPr>
        <w:widowControl/>
        <w:tabs>
          <w:tab w:val="left" w:pos="900"/>
          <w:tab w:val="left" w:pos="1276"/>
          <w:tab w:val="left" w:pos="1985"/>
        </w:tabs>
        <w:spacing w:line="380" w:lineRule="exact"/>
        <w:ind w:left="420"/>
        <w:rPr>
          <w:rFonts w:ascii="宋体" w:hAnsi="宋体" w:cs="宋体"/>
          <w:sz w:val="24"/>
        </w:rPr>
      </w:pPr>
      <w:r>
        <w:rPr>
          <w:rFonts w:hint="eastAsia" w:ascii="宋体" w:hAnsi="宋体" w:cs="宋体"/>
          <w:sz w:val="24"/>
        </w:rPr>
        <w:t>3)项目验收合格后，甲方收到乙方出具的正式、合法、有效等额发票及总金额10%的银行保函作为质保金后三十个工作日，支付乙方合同总金额的10%款项。</w:t>
      </w:r>
    </w:p>
    <w:p>
      <w:pPr>
        <w:pStyle w:val="11"/>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numPr>
          <w:ilvl w:val="0"/>
          <w:numId w:val="5"/>
        </w:numPr>
        <w:rPr>
          <w:rFonts w:ascii="宋体" w:hAnsi="宋体" w:eastAsia="宋体" w:cs="宋体"/>
        </w:rPr>
      </w:pPr>
      <w:r>
        <w:rPr>
          <w:rFonts w:hint="eastAsia" w:ascii="宋体" w:hAnsi="宋体" w:eastAsia="宋体" w:cs="宋体"/>
        </w:rPr>
        <w:t>货物需求一览表及技术规格</w:t>
      </w: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jc w:val="center"/>
        <w:rPr>
          <w:rFonts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6"/>
        </w:numPr>
        <w:spacing w:line="360" w:lineRule="auto"/>
        <w:rPr>
          <w:rFonts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rPr>
        <w:t>罕见病临床科研管理项目</w:t>
      </w:r>
    </w:p>
    <w:p>
      <w:pPr>
        <w:numPr>
          <w:ilvl w:val="0"/>
          <w:numId w:val="6"/>
        </w:numPr>
        <w:spacing w:line="360" w:lineRule="auto"/>
        <w:rPr>
          <w:rFonts w:ascii="宋体" w:hAnsi="宋体" w:cs="宋体"/>
          <w:sz w:val="24"/>
        </w:rPr>
      </w:pPr>
      <w:r>
        <w:rPr>
          <w:rFonts w:hint="eastAsia" w:ascii="宋体" w:hAnsi="宋体" w:cs="宋体"/>
          <w:b/>
          <w:sz w:val="24"/>
        </w:rPr>
        <w:t>实施地点</w:t>
      </w:r>
      <w:r>
        <w:rPr>
          <w:rFonts w:hint="eastAsia" w:ascii="宋体" w:hAnsi="宋体" w:cs="宋体"/>
          <w:sz w:val="24"/>
        </w:rPr>
        <w:t>：上海市儿童医院</w:t>
      </w:r>
    </w:p>
    <w:p>
      <w:pPr>
        <w:pStyle w:val="21"/>
        <w:spacing w:line="360" w:lineRule="auto"/>
        <w:ind w:firstLine="0" w:firstLineChars="0"/>
        <w:rPr>
          <w:rFonts w:ascii="宋体" w:hAnsi="宋体" w:cs="宋体"/>
          <w:sz w:val="24"/>
        </w:rPr>
      </w:pPr>
      <w:r>
        <w:rPr>
          <w:rFonts w:hint="eastAsia" w:ascii="宋体" w:hAnsi="宋体" w:cs="宋体"/>
          <w:b/>
          <w:bCs/>
          <w:sz w:val="24"/>
          <w:szCs w:val="24"/>
        </w:rPr>
        <w:t>三、</w:t>
      </w:r>
      <w:r>
        <w:rPr>
          <w:rFonts w:hint="eastAsia" w:ascii="宋体" w:hAnsi="宋体" w:cs="宋体"/>
          <w:b/>
          <w:bCs/>
          <w:sz w:val="24"/>
        </w:rPr>
        <w:t>服务时间：</w:t>
      </w:r>
      <w:r>
        <w:rPr>
          <w:rFonts w:hint="eastAsia" w:ascii="宋体" w:hAnsi="宋体" w:cs="宋体"/>
          <w:sz w:val="24"/>
        </w:rPr>
        <w:t>合同签订后12个月内</w:t>
      </w:r>
    </w:p>
    <w:p>
      <w:pPr>
        <w:spacing w:line="360" w:lineRule="auto"/>
        <w:rPr>
          <w:rFonts w:ascii="宋体" w:hAnsi="宋体" w:cs="宋体"/>
          <w:b/>
          <w:sz w:val="24"/>
        </w:rPr>
      </w:pPr>
      <w:r>
        <w:rPr>
          <w:rFonts w:hint="eastAsia" w:ascii="宋体" w:hAnsi="宋体" w:cs="宋体"/>
          <w:b/>
          <w:sz w:val="24"/>
        </w:rPr>
        <w:t>四、软件系统技术参数要求</w:t>
      </w:r>
    </w:p>
    <w:p>
      <w:pPr>
        <w:spacing w:before="78" w:after="78"/>
        <w:rPr>
          <w:rFonts w:ascii="宋体" w:hAnsi="宋体" w:cs="宋体"/>
          <w:sz w:val="24"/>
          <w:szCs w:val="22"/>
        </w:rPr>
      </w:pPr>
      <w:r>
        <w:rPr>
          <w:rFonts w:hint="eastAsia" w:ascii="宋体" w:hAnsi="宋体" w:cs="宋体"/>
          <w:sz w:val="24"/>
          <w:szCs w:val="22"/>
        </w:rPr>
        <w:t>1.</w:t>
      </w:r>
      <w:r>
        <w:rPr>
          <w:rFonts w:hint="eastAsia" w:ascii="宋体" w:hAnsi="宋体" w:cs="宋体"/>
          <w:sz w:val="24"/>
          <w:szCs w:val="22"/>
        </w:rPr>
        <w:tab/>
      </w:r>
      <w:r>
        <w:rPr>
          <w:rFonts w:hint="eastAsia" w:ascii="宋体" w:hAnsi="宋体" w:cs="宋体"/>
          <w:sz w:val="24"/>
          <w:szCs w:val="22"/>
        </w:rPr>
        <w:t>招标内容</w:t>
      </w:r>
    </w:p>
    <w:p>
      <w:pPr>
        <w:spacing w:before="78" w:after="78"/>
        <w:rPr>
          <w:rFonts w:ascii="宋体" w:hAnsi="宋体" w:cs="宋体"/>
          <w:sz w:val="24"/>
          <w:szCs w:val="22"/>
        </w:rPr>
      </w:pPr>
      <w:r>
        <w:rPr>
          <w:rFonts w:hint="eastAsia" w:ascii="宋体" w:hAnsi="宋体" w:cs="宋体"/>
          <w:sz w:val="24"/>
          <w:szCs w:val="22"/>
        </w:rPr>
        <w:t>1.1.项目建设目标</w:t>
      </w:r>
    </w:p>
    <w:p>
      <w:pPr>
        <w:spacing w:before="78" w:after="78"/>
        <w:ind w:firstLine="420"/>
        <w:rPr>
          <w:rFonts w:ascii="宋体" w:hAnsi="宋体" w:cs="宋体"/>
          <w:sz w:val="24"/>
          <w:szCs w:val="22"/>
        </w:rPr>
      </w:pPr>
      <w:r>
        <w:rPr>
          <w:rFonts w:hint="eastAsia" w:ascii="宋体" w:hAnsi="宋体" w:cs="宋体"/>
          <w:sz w:val="24"/>
          <w:szCs w:val="22"/>
        </w:rPr>
        <w:t>本项目将围绕儿童罕见病，利用经过汇聚、整合和治理的数据，开展面向专科临床科研的数据分析、挖掘和利用。支持基于人工智能技术将医院积存的海量临床数据进行结构化、标准化和归一化处理；支持基于自然语言处理技术的医疗文书类非结构化数据治理；提供非标准化概念与标准化概念间的映射转换服务，实现数据标准化应用；支持处理多种病历类型的自然语言处理模型，支持自定义变量拓展抽取。</w:t>
      </w:r>
    </w:p>
    <w:p>
      <w:pPr>
        <w:spacing w:before="78" w:after="78" w:line="480" w:lineRule="exact"/>
        <w:rPr>
          <w:rFonts w:ascii="宋体" w:hAnsi="宋体" w:cs="宋体"/>
          <w:sz w:val="24"/>
          <w:szCs w:val="22"/>
        </w:rPr>
      </w:pPr>
      <w:r>
        <w:rPr>
          <w:rFonts w:hint="eastAsia" w:ascii="宋体" w:hAnsi="宋体" w:cs="宋体"/>
          <w:sz w:val="24"/>
          <w:szCs w:val="22"/>
        </w:rPr>
        <w:t>1.2.招标技术要求</w:t>
      </w:r>
    </w:p>
    <w:p>
      <w:pPr>
        <w:spacing w:before="78" w:after="78" w:line="480" w:lineRule="exact"/>
        <w:ind w:firstLine="420"/>
        <w:rPr>
          <w:rFonts w:ascii="宋体" w:hAnsi="宋体" w:cs="宋体"/>
          <w:sz w:val="24"/>
          <w:szCs w:val="22"/>
        </w:rPr>
      </w:pPr>
      <w:r>
        <w:rPr>
          <w:rFonts w:hint="eastAsia" w:ascii="宋体" w:hAnsi="宋体" w:cs="宋体"/>
          <w:sz w:val="24"/>
          <w:szCs w:val="22"/>
        </w:rPr>
        <w:t>备注：对投标人现有软件模块名称不要求与列表内名称完全一致，但所投产品须能满足实现招标文件描述所达到的所有功能需求，并可在此基础上作适量的扩展。</w:t>
      </w:r>
    </w:p>
    <w:tbl>
      <w:tblPr>
        <w:tblStyle w:val="12"/>
        <w:tblpPr w:leftFromText="180" w:rightFromText="180" w:vertAnchor="text" w:horzAnchor="page" w:tblpX="1253" w:tblpY="534"/>
        <w:tblOverlap w:val="never"/>
        <w:tblW w:w="9239" w:type="dxa"/>
        <w:tblInd w:w="0" w:type="dxa"/>
        <w:tblLayout w:type="fixed"/>
        <w:tblCellMar>
          <w:top w:w="0" w:type="dxa"/>
          <w:left w:w="108" w:type="dxa"/>
          <w:bottom w:w="0" w:type="dxa"/>
          <w:right w:w="108" w:type="dxa"/>
        </w:tblCellMar>
      </w:tblPr>
      <w:tblGrid>
        <w:gridCol w:w="3741"/>
        <w:gridCol w:w="2918"/>
        <w:gridCol w:w="2580"/>
      </w:tblGrid>
      <w:tr>
        <w:tblPrEx>
          <w:tblCellMar>
            <w:top w:w="0" w:type="dxa"/>
            <w:left w:w="108" w:type="dxa"/>
            <w:bottom w:w="0" w:type="dxa"/>
            <w:right w:w="108" w:type="dxa"/>
          </w:tblCellMar>
        </w:tblPrEx>
        <w:trPr>
          <w:trHeight w:val="786" w:hRule="atLeast"/>
        </w:trPr>
        <w:tc>
          <w:tcPr>
            <w:tcW w:w="3741" w:type="dxa"/>
            <w:tcBorders>
              <w:top w:val="single" w:color="000000" w:sz="4" w:space="0"/>
              <w:left w:val="single" w:color="000000" w:sz="4" w:space="0"/>
              <w:bottom w:val="nil"/>
              <w:right w:val="single" w:color="000000" w:sz="4" w:space="0"/>
            </w:tcBorders>
            <w:shd w:val="clear" w:color="auto" w:fill="E2EFDA"/>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系统</w:t>
            </w:r>
          </w:p>
        </w:tc>
        <w:tc>
          <w:tcPr>
            <w:tcW w:w="2918" w:type="dxa"/>
            <w:tcBorders>
              <w:top w:val="single" w:color="000000" w:sz="4" w:space="0"/>
              <w:left w:val="single" w:color="000000" w:sz="4" w:space="0"/>
              <w:bottom w:val="nil"/>
              <w:right w:val="single" w:color="000000" w:sz="4" w:space="0"/>
            </w:tcBorders>
            <w:shd w:val="clear" w:color="auto" w:fill="E2EFDA"/>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模块</w:t>
            </w:r>
          </w:p>
        </w:tc>
        <w:tc>
          <w:tcPr>
            <w:tcW w:w="2580" w:type="dxa"/>
            <w:tcBorders>
              <w:top w:val="single" w:color="000000" w:sz="4" w:space="0"/>
              <w:left w:val="single" w:color="000000" w:sz="4" w:space="0"/>
              <w:bottom w:val="nil"/>
              <w:right w:val="single" w:color="000000" w:sz="4" w:space="0"/>
            </w:tcBorders>
            <w:shd w:val="clear" w:color="auto" w:fill="E2EFDA"/>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功能简介</w:t>
            </w:r>
          </w:p>
        </w:tc>
      </w:tr>
      <w:tr>
        <w:tblPrEx>
          <w:tblCellMar>
            <w:top w:w="0" w:type="dxa"/>
            <w:left w:w="108" w:type="dxa"/>
            <w:bottom w:w="0" w:type="dxa"/>
            <w:right w:w="108" w:type="dxa"/>
          </w:tblCellMar>
        </w:tblPrEx>
        <w:trPr>
          <w:trHeight w:val="476" w:hRule="atLeast"/>
        </w:trPr>
        <w:tc>
          <w:tcPr>
            <w:tcW w:w="3741" w:type="dxa"/>
            <w:vMerge w:val="restart"/>
            <w:tcBorders>
              <w:top w:val="single" w:color="000000" w:sz="4" w:space="0"/>
              <w:left w:val="single" w:color="000000" w:sz="4" w:space="0"/>
              <w:right w:val="single" w:color="000000" w:sz="4" w:space="0"/>
            </w:tcBorders>
            <w:shd w:val="clear" w:color="auto" w:fill="auto"/>
          </w:tcPr>
          <w:p>
            <w:pPr>
              <w:spacing w:before="78" w:after="78" w:line="480" w:lineRule="exact"/>
              <w:rPr>
                <w:rFonts w:ascii="宋体" w:hAnsi="宋体" w:cs="宋体"/>
                <w:sz w:val="24"/>
                <w:szCs w:val="22"/>
              </w:rPr>
            </w:pPr>
            <w:r>
              <w:rPr>
                <w:rFonts w:hint="eastAsia" w:ascii="宋体" w:hAnsi="宋体" w:cs="宋体"/>
                <w:sz w:val="24"/>
                <w:szCs w:val="22"/>
              </w:rPr>
              <w:t>儿童医院罕见病临床科研系统</w:t>
            </w:r>
          </w:p>
        </w:tc>
        <w:tc>
          <w:tcPr>
            <w:tcW w:w="2918" w:type="dxa"/>
            <w:vMerge w:val="restart"/>
            <w:tcBorders>
              <w:top w:val="single" w:color="000000" w:sz="4" w:space="0"/>
              <w:left w:val="single" w:color="000000" w:sz="4" w:space="0"/>
              <w:right w:val="single" w:color="000000" w:sz="4" w:space="0"/>
            </w:tcBorders>
            <w:shd w:val="clear" w:color="auto" w:fill="auto"/>
            <w:vAlign w:val="center"/>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数据采集</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373" w:firstLineChars="178"/>
              <w:rPr>
                <w:rFonts w:ascii="宋体" w:hAnsi="宋体" w:cs="宋体"/>
                <w:sz w:val="24"/>
                <w:szCs w:val="22"/>
              </w:rPr>
            </w:pPr>
            <w:r>
              <w:fldChar w:fldCharType="begin"/>
            </w:r>
            <w:r>
              <w:instrText xml:space="preserve"> HYPERLINK "http://sd.simmed.cn/data-lake/collect-task-list" </w:instrText>
            </w:r>
            <w:r>
              <w:fldChar w:fldCharType="separate"/>
            </w:r>
            <w:r>
              <w:rPr>
                <w:rFonts w:hint="eastAsia" w:ascii="宋体" w:hAnsi="宋体" w:cs="宋体"/>
                <w:sz w:val="24"/>
                <w:szCs w:val="22"/>
              </w:rPr>
              <w:t>采集任务</w:t>
            </w:r>
            <w:r>
              <w:rPr>
                <w:rFonts w:hint="eastAsia" w:ascii="宋体" w:hAnsi="宋体" w:cs="宋体"/>
                <w:sz w:val="24"/>
                <w:szCs w:val="22"/>
              </w:rPr>
              <w:fldChar w:fldCharType="end"/>
            </w:r>
          </w:p>
        </w:tc>
      </w:tr>
      <w:tr>
        <w:tblPrEx>
          <w:tblCellMar>
            <w:top w:w="0" w:type="dxa"/>
            <w:left w:w="108" w:type="dxa"/>
            <w:bottom w:w="0" w:type="dxa"/>
            <w:right w:w="108" w:type="dxa"/>
          </w:tblCellMar>
        </w:tblPrEx>
        <w:trPr>
          <w:trHeight w:val="476" w:hRule="atLeast"/>
        </w:trPr>
        <w:tc>
          <w:tcPr>
            <w:tcW w:w="3741"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采集监控</w:t>
            </w:r>
          </w:p>
        </w:tc>
      </w:tr>
      <w:tr>
        <w:tblPrEx>
          <w:tblCellMar>
            <w:top w:w="0" w:type="dxa"/>
            <w:left w:w="108" w:type="dxa"/>
            <w:bottom w:w="0" w:type="dxa"/>
            <w:right w:w="108" w:type="dxa"/>
          </w:tblCellMar>
        </w:tblPrEx>
        <w:trPr>
          <w:trHeight w:val="476" w:hRule="atLeast"/>
        </w:trPr>
        <w:tc>
          <w:tcPr>
            <w:tcW w:w="3741"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采集报告</w:t>
            </w:r>
          </w:p>
        </w:tc>
      </w:tr>
      <w:tr>
        <w:tblPrEx>
          <w:tblCellMar>
            <w:top w:w="0" w:type="dxa"/>
            <w:left w:w="108" w:type="dxa"/>
            <w:bottom w:w="0" w:type="dxa"/>
            <w:right w:w="108" w:type="dxa"/>
          </w:tblCellMar>
        </w:tblPrEx>
        <w:trPr>
          <w:trHeight w:val="476" w:hRule="atLeast"/>
        </w:trPr>
        <w:tc>
          <w:tcPr>
            <w:tcW w:w="3741"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采集模板</w:t>
            </w:r>
          </w:p>
        </w:tc>
      </w:tr>
      <w:tr>
        <w:tblPrEx>
          <w:tblCellMar>
            <w:top w:w="0" w:type="dxa"/>
            <w:left w:w="108" w:type="dxa"/>
            <w:bottom w:w="0" w:type="dxa"/>
            <w:right w:w="108" w:type="dxa"/>
          </w:tblCellMar>
        </w:tblPrEx>
        <w:trPr>
          <w:trHeight w:val="476" w:hRule="atLeast"/>
        </w:trPr>
        <w:tc>
          <w:tcPr>
            <w:tcW w:w="3741"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导入病历</w:t>
            </w:r>
          </w:p>
        </w:tc>
      </w:tr>
      <w:tr>
        <w:tblPrEx>
          <w:tblCellMar>
            <w:top w:w="0" w:type="dxa"/>
            <w:left w:w="108" w:type="dxa"/>
            <w:bottom w:w="0" w:type="dxa"/>
            <w:right w:w="108" w:type="dxa"/>
          </w:tblCellMar>
        </w:tblPrEx>
        <w:trPr>
          <w:trHeight w:val="476" w:hRule="atLeast"/>
        </w:trPr>
        <w:tc>
          <w:tcPr>
            <w:tcW w:w="3741"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vMerge w:val="restart"/>
            <w:tcBorders>
              <w:top w:val="single" w:color="000000" w:sz="4" w:space="0"/>
              <w:left w:val="single" w:color="000000" w:sz="4" w:space="0"/>
              <w:right w:val="single" w:color="000000" w:sz="4" w:space="0"/>
            </w:tcBorders>
            <w:shd w:val="clear" w:color="auto" w:fill="auto"/>
            <w:vAlign w:val="center"/>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病历浏览</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CDR浏览器</w:t>
            </w:r>
          </w:p>
        </w:tc>
      </w:tr>
      <w:tr>
        <w:tblPrEx>
          <w:tblCellMar>
            <w:top w:w="0" w:type="dxa"/>
            <w:left w:w="108" w:type="dxa"/>
            <w:bottom w:w="0" w:type="dxa"/>
            <w:right w:w="108" w:type="dxa"/>
          </w:tblCellMar>
        </w:tblPrEx>
        <w:trPr>
          <w:trHeight w:val="476" w:hRule="atLeast"/>
        </w:trPr>
        <w:tc>
          <w:tcPr>
            <w:tcW w:w="3741"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CDR检索</w:t>
            </w:r>
          </w:p>
        </w:tc>
      </w:tr>
      <w:tr>
        <w:tblPrEx>
          <w:tblCellMar>
            <w:top w:w="0" w:type="dxa"/>
            <w:left w:w="108" w:type="dxa"/>
            <w:bottom w:w="0" w:type="dxa"/>
            <w:right w:w="108" w:type="dxa"/>
          </w:tblCellMar>
        </w:tblPrEx>
        <w:trPr>
          <w:trHeight w:val="476" w:hRule="atLeast"/>
        </w:trPr>
        <w:tc>
          <w:tcPr>
            <w:tcW w:w="3741"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vMerge w:val="continue"/>
            <w:tcBorders>
              <w:left w:val="single" w:color="000000" w:sz="4" w:space="0"/>
              <w:bottom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CDR总览</w:t>
            </w:r>
          </w:p>
        </w:tc>
      </w:tr>
      <w:tr>
        <w:tblPrEx>
          <w:tblCellMar>
            <w:top w:w="0" w:type="dxa"/>
            <w:left w:w="108" w:type="dxa"/>
            <w:bottom w:w="0" w:type="dxa"/>
            <w:right w:w="108" w:type="dxa"/>
          </w:tblCellMar>
        </w:tblPrEx>
        <w:trPr>
          <w:trHeight w:val="476" w:hRule="atLeast"/>
        </w:trPr>
        <w:tc>
          <w:tcPr>
            <w:tcW w:w="3741"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vMerge w:val="restart"/>
            <w:tcBorders>
              <w:top w:val="single" w:color="000000" w:sz="4" w:space="0"/>
              <w:left w:val="single" w:color="000000" w:sz="4" w:space="0"/>
              <w:right w:val="single" w:color="000000" w:sz="4" w:space="0"/>
            </w:tcBorders>
            <w:shd w:val="clear" w:color="auto" w:fill="auto"/>
            <w:vAlign w:val="center"/>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专病库管理</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专病列表</w:t>
            </w:r>
          </w:p>
        </w:tc>
      </w:tr>
      <w:tr>
        <w:tblPrEx>
          <w:tblCellMar>
            <w:top w:w="0" w:type="dxa"/>
            <w:left w:w="108" w:type="dxa"/>
            <w:bottom w:w="0" w:type="dxa"/>
            <w:right w:w="108" w:type="dxa"/>
          </w:tblCellMar>
        </w:tblPrEx>
        <w:trPr>
          <w:trHeight w:val="476" w:hRule="atLeast"/>
        </w:trPr>
        <w:tc>
          <w:tcPr>
            <w:tcW w:w="3741"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新建专病</w:t>
            </w:r>
          </w:p>
        </w:tc>
      </w:tr>
      <w:tr>
        <w:tblPrEx>
          <w:tblCellMar>
            <w:top w:w="0" w:type="dxa"/>
            <w:left w:w="108" w:type="dxa"/>
            <w:bottom w:w="0" w:type="dxa"/>
            <w:right w:w="108" w:type="dxa"/>
          </w:tblCellMar>
        </w:tblPrEx>
        <w:trPr>
          <w:trHeight w:val="476" w:hRule="atLeast"/>
        </w:trPr>
        <w:tc>
          <w:tcPr>
            <w:tcW w:w="3741"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CRF维护</w:t>
            </w:r>
          </w:p>
        </w:tc>
      </w:tr>
      <w:tr>
        <w:tblPrEx>
          <w:tblCellMar>
            <w:top w:w="0" w:type="dxa"/>
            <w:left w:w="108" w:type="dxa"/>
            <w:bottom w:w="0" w:type="dxa"/>
            <w:right w:w="108" w:type="dxa"/>
          </w:tblCellMar>
        </w:tblPrEx>
        <w:trPr>
          <w:trHeight w:val="476" w:hRule="atLeast"/>
        </w:trPr>
        <w:tc>
          <w:tcPr>
            <w:tcW w:w="3741"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数据加工</w:t>
            </w:r>
          </w:p>
        </w:tc>
      </w:tr>
      <w:tr>
        <w:tblPrEx>
          <w:tblCellMar>
            <w:top w:w="0" w:type="dxa"/>
            <w:left w:w="108" w:type="dxa"/>
            <w:bottom w:w="0" w:type="dxa"/>
            <w:right w:w="108" w:type="dxa"/>
          </w:tblCellMar>
        </w:tblPrEx>
        <w:trPr>
          <w:trHeight w:val="476" w:hRule="atLeast"/>
        </w:trPr>
        <w:tc>
          <w:tcPr>
            <w:tcW w:w="3741"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vMerge w:val="continue"/>
            <w:tcBorders>
              <w:left w:val="single" w:color="000000" w:sz="4" w:space="0"/>
              <w:bottom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智能填充</w:t>
            </w:r>
          </w:p>
        </w:tc>
      </w:tr>
      <w:tr>
        <w:tblPrEx>
          <w:tblCellMar>
            <w:top w:w="0" w:type="dxa"/>
            <w:left w:w="108" w:type="dxa"/>
            <w:bottom w:w="0" w:type="dxa"/>
            <w:right w:w="108" w:type="dxa"/>
          </w:tblCellMar>
        </w:tblPrEx>
        <w:trPr>
          <w:trHeight w:val="476" w:hRule="atLeast"/>
        </w:trPr>
        <w:tc>
          <w:tcPr>
            <w:tcW w:w="3741"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病历检索</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多条件检索</w:t>
            </w:r>
          </w:p>
        </w:tc>
      </w:tr>
      <w:tr>
        <w:tblPrEx>
          <w:tblCellMar>
            <w:top w:w="0" w:type="dxa"/>
            <w:left w:w="108" w:type="dxa"/>
            <w:bottom w:w="0" w:type="dxa"/>
            <w:right w:w="108" w:type="dxa"/>
          </w:tblCellMar>
        </w:tblPrEx>
        <w:trPr>
          <w:trHeight w:val="476" w:hRule="atLeast"/>
        </w:trPr>
        <w:tc>
          <w:tcPr>
            <w:tcW w:w="3741"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vMerge w:val="restart"/>
            <w:tcBorders>
              <w:top w:val="single" w:color="000000" w:sz="4" w:space="0"/>
              <w:left w:val="single" w:color="000000" w:sz="4" w:space="0"/>
              <w:right w:val="single" w:color="000000" w:sz="4" w:space="0"/>
            </w:tcBorders>
            <w:shd w:val="clear" w:color="auto" w:fill="auto"/>
            <w:vAlign w:val="center"/>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统计分析</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数据整理与导出</w:t>
            </w:r>
          </w:p>
        </w:tc>
      </w:tr>
      <w:tr>
        <w:tblPrEx>
          <w:tblCellMar>
            <w:top w:w="0" w:type="dxa"/>
            <w:left w:w="108" w:type="dxa"/>
            <w:bottom w:w="0" w:type="dxa"/>
            <w:right w:w="108" w:type="dxa"/>
          </w:tblCellMar>
        </w:tblPrEx>
        <w:trPr>
          <w:trHeight w:val="476" w:hRule="atLeast"/>
        </w:trPr>
        <w:tc>
          <w:tcPr>
            <w:tcW w:w="3741"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vMerge w:val="continue"/>
            <w:tcBorders>
              <w:left w:val="single" w:color="000000" w:sz="4" w:space="0"/>
              <w:bottom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统计分析</w:t>
            </w:r>
          </w:p>
        </w:tc>
      </w:tr>
      <w:tr>
        <w:tblPrEx>
          <w:tblCellMar>
            <w:top w:w="0" w:type="dxa"/>
            <w:left w:w="108" w:type="dxa"/>
            <w:bottom w:w="0" w:type="dxa"/>
            <w:right w:w="108" w:type="dxa"/>
          </w:tblCellMar>
        </w:tblPrEx>
        <w:trPr>
          <w:trHeight w:val="476" w:hRule="atLeast"/>
        </w:trPr>
        <w:tc>
          <w:tcPr>
            <w:tcW w:w="3741"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vMerge w:val="restart"/>
            <w:tcBorders>
              <w:top w:val="single" w:color="000000" w:sz="4" w:space="0"/>
              <w:left w:val="single" w:color="000000" w:sz="4" w:space="0"/>
              <w:right w:val="single" w:color="000000" w:sz="4" w:space="0"/>
            </w:tcBorders>
            <w:shd w:val="clear" w:color="auto" w:fill="auto"/>
            <w:vAlign w:val="center"/>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系统管理</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角色管理</w:t>
            </w:r>
          </w:p>
        </w:tc>
      </w:tr>
      <w:tr>
        <w:tblPrEx>
          <w:tblCellMar>
            <w:top w:w="0" w:type="dxa"/>
            <w:left w:w="108" w:type="dxa"/>
            <w:bottom w:w="0" w:type="dxa"/>
            <w:right w:w="108" w:type="dxa"/>
          </w:tblCellMar>
        </w:tblPrEx>
        <w:trPr>
          <w:trHeight w:val="476" w:hRule="atLeast"/>
        </w:trPr>
        <w:tc>
          <w:tcPr>
            <w:tcW w:w="3741" w:type="dxa"/>
            <w:vMerge w:val="continue"/>
            <w:tcBorders>
              <w:left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vMerge w:val="continue"/>
            <w:tcBorders>
              <w:left w:val="single" w:color="000000" w:sz="4" w:space="0"/>
              <w:right w:val="single" w:color="000000" w:sz="4" w:space="0"/>
            </w:tcBorders>
            <w:shd w:val="clear" w:color="auto" w:fill="auto"/>
            <w:vAlign w:val="center"/>
          </w:tcPr>
          <w:p>
            <w:pPr>
              <w:spacing w:before="78" w:after="78" w:line="480" w:lineRule="exact"/>
              <w:ind w:left="420" w:leftChars="200" w:firstLine="427" w:firstLineChars="178"/>
              <w:rPr>
                <w:rFonts w:ascii="宋体" w:hAnsi="宋体" w:cs="宋体"/>
                <w:sz w:val="24"/>
                <w:szCs w:val="22"/>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用户管理</w:t>
            </w:r>
          </w:p>
        </w:tc>
      </w:tr>
      <w:tr>
        <w:tblPrEx>
          <w:tblCellMar>
            <w:top w:w="0" w:type="dxa"/>
            <w:left w:w="108" w:type="dxa"/>
            <w:bottom w:w="0" w:type="dxa"/>
            <w:right w:w="108" w:type="dxa"/>
          </w:tblCellMar>
        </w:tblPrEx>
        <w:trPr>
          <w:trHeight w:val="486" w:hRule="atLeast"/>
        </w:trPr>
        <w:tc>
          <w:tcPr>
            <w:tcW w:w="3741" w:type="dxa"/>
            <w:vMerge w:val="continue"/>
            <w:tcBorders>
              <w:left w:val="single" w:color="000000" w:sz="4" w:space="0"/>
              <w:bottom w:val="single" w:color="000000" w:sz="4" w:space="0"/>
              <w:right w:val="single" w:color="000000" w:sz="4" w:space="0"/>
            </w:tcBorders>
            <w:shd w:val="clear" w:color="auto" w:fill="auto"/>
          </w:tcPr>
          <w:p>
            <w:pPr>
              <w:spacing w:before="78" w:after="78" w:line="480" w:lineRule="exact"/>
              <w:ind w:left="420" w:leftChars="200" w:firstLine="427" w:firstLineChars="178"/>
              <w:rPr>
                <w:rFonts w:ascii="宋体" w:hAnsi="宋体" w:cs="宋体"/>
                <w:sz w:val="24"/>
                <w:szCs w:val="22"/>
              </w:rPr>
            </w:pPr>
          </w:p>
        </w:tc>
        <w:tc>
          <w:tcPr>
            <w:tcW w:w="2918" w:type="dxa"/>
            <w:vMerge w:val="continue"/>
            <w:tcBorders>
              <w:left w:val="single" w:color="000000" w:sz="4" w:space="0"/>
              <w:bottom w:val="single" w:color="000000" w:sz="4" w:space="0"/>
              <w:right w:val="single" w:color="000000" w:sz="4" w:space="0"/>
            </w:tcBorders>
            <w:shd w:val="clear" w:color="auto" w:fill="auto"/>
            <w:vAlign w:val="center"/>
          </w:tcPr>
          <w:p>
            <w:pPr>
              <w:spacing w:before="78" w:after="78" w:line="480" w:lineRule="exact"/>
              <w:ind w:left="420" w:leftChars="200" w:firstLine="427" w:firstLineChars="178"/>
              <w:rPr>
                <w:rFonts w:ascii="宋体" w:hAnsi="宋体" w:cs="宋体"/>
                <w:sz w:val="24"/>
                <w:szCs w:val="22"/>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Pr>
          <w:p>
            <w:pPr>
              <w:spacing w:before="78" w:after="78" w:line="480" w:lineRule="exact"/>
              <w:ind w:left="420" w:leftChars="200" w:firstLine="427" w:firstLineChars="178"/>
              <w:rPr>
                <w:rFonts w:ascii="宋体" w:hAnsi="宋体" w:cs="宋体"/>
                <w:sz w:val="24"/>
                <w:szCs w:val="22"/>
              </w:rPr>
            </w:pPr>
            <w:r>
              <w:rPr>
                <w:rFonts w:hint="eastAsia" w:ascii="宋体" w:hAnsi="宋体" w:cs="宋体"/>
                <w:sz w:val="24"/>
                <w:szCs w:val="22"/>
              </w:rPr>
              <w:t>配置管理</w:t>
            </w:r>
          </w:p>
        </w:tc>
      </w:tr>
    </w:tbl>
    <w:p>
      <w:pPr>
        <w:numPr>
          <w:ilvl w:val="0"/>
          <w:numId w:val="7"/>
        </w:numPr>
        <w:spacing w:before="78" w:after="78" w:line="480" w:lineRule="exact"/>
        <w:rPr>
          <w:rFonts w:ascii="宋体" w:hAnsi="宋体" w:cs="宋体"/>
          <w:sz w:val="24"/>
          <w:szCs w:val="22"/>
        </w:rPr>
      </w:pPr>
      <w:r>
        <w:rPr>
          <w:rFonts w:hint="eastAsia" w:ascii="宋体" w:hAnsi="宋体" w:cs="宋体"/>
          <w:sz w:val="24"/>
          <w:szCs w:val="22"/>
        </w:rPr>
        <w:t>数据采集</w:t>
      </w:r>
    </w:p>
    <w:p>
      <w:pPr>
        <w:spacing w:before="78" w:after="78" w:line="480" w:lineRule="exact"/>
        <w:ind w:firstLine="420"/>
        <w:rPr>
          <w:rFonts w:ascii="宋体" w:hAnsi="宋体" w:cs="宋体"/>
          <w:sz w:val="24"/>
          <w:szCs w:val="22"/>
        </w:rPr>
      </w:pPr>
      <w:r>
        <w:rPr>
          <w:rFonts w:hint="eastAsia" w:ascii="宋体" w:hAnsi="宋体" w:cs="宋体"/>
          <w:sz w:val="24"/>
          <w:szCs w:val="22"/>
        </w:rPr>
        <w:t>对接医院 CDR 或业务系统数据备份库，根据专病库建设的范围，按照互联互通共享文档的格式采集原始临床数据， 包括采集任务管理、采集监控和采集报告等。支持从医院HIS、EMRS、PACS、LIS、手术麻醉等多个业务系统数据备 份库中，根据专病库建设的范围，按照互联互通共享文档的格式，将原始临床数据采集成统一的标准 CDA 结构数据， 形成专病数据湖；</w:t>
      </w:r>
    </w:p>
    <w:p>
      <w:pPr>
        <w:numPr>
          <w:ilvl w:val="0"/>
          <w:numId w:val="7"/>
        </w:numPr>
        <w:spacing w:before="78" w:after="78" w:line="480" w:lineRule="exact"/>
        <w:rPr>
          <w:rFonts w:ascii="宋体" w:hAnsi="宋体" w:cs="宋体"/>
          <w:sz w:val="24"/>
          <w:szCs w:val="22"/>
        </w:rPr>
      </w:pPr>
      <w:r>
        <w:rPr>
          <w:rFonts w:hint="eastAsia" w:ascii="宋体" w:hAnsi="宋体" w:cs="宋体"/>
          <w:sz w:val="24"/>
          <w:szCs w:val="22"/>
        </w:rPr>
        <w:t>病历浏览</w:t>
      </w:r>
    </w:p>
    <w:p>
      <w:pPr>
        <w:spacing w:before="78" w:after="78" w:line="480" w:lineRule="exact"/>
        <w:ind w:firstLine="420"/>
        <w:rPr>
          <w:rFonts w:ascii="宋体" w:hAnsi="宋体" w:cs="宋体"/>
          <w:sz w:val="24"/>
          <w:szCs w:val="22"/>
        </w:rPr>
      </w:pPr>
      <w:r>
        <w:rPr>
          <w:rFonts w:hint="eastAsia" w:ascii="宋体" w:hAnsi="宋体" w:cs="宋体"/>
          <w:sz w:val="24"/>
          <w:szCs w:val="22"/>
        </w:rPr>
        <w:t>能够查阅入库患者的原始病例资料，包括门急诊病历、各类辅助检查报告、门诊处方、住院医嘱等；能够以患者历次就诊的时间、就诊的类型对病例资料进行排列分类展示；支持按照患者唯一主索引、就诊号等标识号对入库患者进行检索。</w:t>
      </w:r>
    </w:p>
    <w:p>
      <w:pPr>
        <w:numPr>
          <w:ilvl w:val="0"/>
          <w:numId w:val="7"/>
        </w:numPr>
        <w:spacing w:before="78" w:after="78" w:line="480" w:lineRule="exact"/>
        <w:rPr>
          <w:rFonts w:ascii="宋体" w:hAnsi="宋体" w:cs="宋体"/>
          <w:sz w:val="24"/>
          <w:szCs w:val="22"/>
        </w:rPr>
      </w:pPr>
      <w:r>
        <w:rPr>
          <w:rFonts w:hint="eastAsia" w:ascii="宋体" w:hAnsi="宋体" w:cs="宋体"/>
          <w:sz w:val="24"/>
          <w:szCs w:val="22"/>
        </w:rPr>
        <w:t>专病库管理</w:t>
      </w:r>
    </w:p>
    <w:p>
      <w:pPr>
        <w:spacing w:before="78" w:after="78" w:line="480" w:lineRule="exact"/>
        <w:ind w:firstLine="420"/>
        <w:rPr>
          <w:rFonts w:ascii="宋体" w:hAnsi="宋体" w:cs="宋体"/>
          <w:sz w:val="24"/>
          <w:szCs w:val="22"/>
        </w:rPr>
      </w:pPr>
      <w:r>
        <w:rPr>
          <w:rFonts w:hint="eastAsia" w:ascii="宋体" w:hAnsi="宋体" w:cs="宋体"/>
          <w:sz w:val="24"/>
          <w:szCs w:val="22"/>
        </w:rPr>
        <w:t>能够新建专病库，定义专病库的入库条件，实现患者的自动智能入库，形成专病库的患者队列；能够定义专病库的指标集，包括指标的中文、英文名称、值域、数据类型、题型等；支持设计专病库的登记方案和各类CRF表单；支持查看专病库中的患者及其CRF表单，对智能填充的CRF表单进行溯源；支持对专病库进行可视化探索，可以自定义分析的指标和图表；支持对专病库进行权限管理，授权可以访问专病数据的用户；</w:t>
      </w:r>
    </w:p>
    <w:p>
      <w:pPr>
        <w:numPr>
          <w:ilvl w:val="0"/>
          <w:numId w:val="7"/>
        </w:numPr>
        <w:spacing w:before="78" w:after="78" w:line="480" w:lineRule="exact"/>
        <w:rPr>
          <w:rFonts w:ascii="宋体" w:hAnsi="宋体" w:cs="宋体"/>
          <w:sz w:val="24"/>
          <w:szCs w:val="22"/>
        </w:rPr>
      </w:pPr>
      <w:r>
        <w:rPr>
          <w:rFonts w:hint="eastAsia" w:ascii="宋体" w:hAnsi="宋体" w:cs="宋体"/>
          <w:sz w:val="24"/>
          <w:szCs w:val="22"/>
        </w:rPr>
        <w:t>病历检索</w:t>
      </w:r>
    </w:p>
    <w:p>
      <w:pPr>
        <w:spacing w:before="78" w:after="78" w:line="480" w:lineRule="exact"/>
        <w:ind w:firstLine="420"/>
        <w:rPr>
          <w:rFonts w:ascii="宋体" w:hAnsi="宋体" w:cs="宋体"/>
          <w:sz w:val="24"/>
          <w:szCs w:val="22"/>
        </w:rPr>
      </w:pPr>
      <w:r>
        <w:rPr>
          <w:rFonts w:hint="eastAsia" w:ascii="宋体" w:hAnsi="宋体" w:cs="宋体"/>
          <w:sz w:val="24"/>
          <w:szCs w:val="22"/>
        </w:rPr>
        <w:t>能够根据课题研究的需要设计入组和纳排标准，对专病库中的患者进行筛选，找到符合课题研究需要的人群；支持根据患者基本信息、各类诊疗事件和科研指标设计纳排条件，支持各条件之间的时序关系、逻辑关系的组合，从而构建复杂的纳排标准，精确的筛选患者；支持检索过程的可视化，可动态直观的查看纳排的过程；支持根据研究课题的需要设计对照组，形成病例对照设计；</w:t>
      </w:r>
    </w:p>
    <w:p>
      <w:pPr>
        <w:numPr>
          <w:ilvl w:val="0"/>
          <w:numId w:val="7"/>
        </w:numPr>
        <w:spacing w:before="78" w:after="78" w:line="480" w:lineRule="exact"/>
        <w:rPr>
          <w:rFonts w:ascii="宋体" w:hAnsi="宋体" w:cs="宋体"/>
          <w:sz w:val="24"/>
          <w:szCs w:val="22"/>
        </w:rPr>
      </w:pPr>
      <w:r>
        <w:rPr>
          <w:rFonts w:hint="eastAsia" w:ascii="宋体" w:hAnsi="宋体" w:cs="宋体"/>
          <w:sz w:val="24"/>
          <w:szCs w:val="22"/>
        </w:rPr>
        <w:t>统计分析</w:t>
      </w:r>
    </w:p>
    <w:p>
      <w:pPr>
        <w:spacing w:before="78" w:after="78" w:line="480" w:lineRule="exact"/>
        <w:ind w:firstLine="420"/>
        <w:rPr>
          <w:rFonts w:ascii="宋体" w:hAnsi="宋体" w:cs="宋体"/>
          <w:sz w:val="24"/>
          <w:szCs w:val="22"/>
        </w:rPr>
      </w:pPr>
      <w:r>
        <w:rPr>
          <w:rFonts w:hint="eastAsia" w:ascii="宋体" w:hAnsi="宋体" w:cs="宋体"/>
          <w:sz w:val="24"/>
          <w:szCs w:val="22"/>
        </w:rPr>
        <w:t>支持从专病库中选择课题研究所需的指标；支持对选择指标的数据进行质控，如缺失值、异常值分析及处理；支持将选择的指标数据导出，用于后续的统计分析；提供PSM、logistics回归分析、生存分析、COX回归分析、ROC分析等数据分析挖掘功能；支持课题研究成功保存、浏览、导出功能；</w:t>
      </w:r>
    </w:p>
    <w:p>
      <w:pPr>
        <w:numPr>
          <w:ilvl w:val="0"/>
          <w:numId w:val="7"/>
        </w:numPr>
        <w:spacing w:before="78" w:after="78" w:line="480" w:lineRule="exact"/>
        <w:rPr>
          <w:rFonts w:ascii="宋体" w:hAnsi="宋体" w:cs="宋体"/>
          <w:sz w:val="24"/>
          <w:szCs w:val="22"/>
        </w:rPr>
      </w:pPr>
      <w:bookmarkStart w:id="10" w:name="_Toc76545464"/>
      <w:r>
        <w:rPr>
          <w:rFonts w:hint="eastAsia" w:ascii="宋体" w:hAnsi="宋体" w:cs="宋体"/>
          <w:sz w:val="24"/>
          <w:szCs w:val="22"/>
        </w:rPr>
        <w:t>系统管理</w:t>
      </w:r>
      <w:bookmarkEnd w:id="10"/>
    </w:p>
    <w:p>
      <w:pPr>
        <w:spacing w:before="78" w:after="78" w:line="480" w:lineRule="exact"/>
        <w:ind w:firstLine="420"/>
        <w:rPr>
          <w:rFonts w:ascii="宋体" w:hAnsi="宋体" w:cs="宋体"/>
          <w:sz w:val="24"/>
          <w:szCs w:val="22"/>
        </w:rPr>
      </w:pPr>
      <w:r>
        <w:rPr>
          <w:rFonts w:hint="eastAsia" w:ascii="宋体" w:hAnsi="宋体" w:cs="宋体"/>
          <w:sz w:val="24"/>
          <w:szCs w:val="22"/>
        </w:rPr>
        <w:t>提供专病数据库的用户、角色、权限、配置等管理功能。支持专病库使用权限管理，管理专病库所属用户，对各用户角色的权限在系统管理中进行统一配置管理。</w:t>
      </w:r>
    </w:p>
    <w:p>
      <w:pPr>
        <w:pStyle w:val="3"/>
        <w:keepLines w:val="0"/>
        <w:widowControl/>
        <w:tabs>
          <w:tab w:val="left" w:pos="426"/>
        </w:tabs>
        <w:overflowPunct w:val="0"/>
        <w:autoSpaceDE w:val="0"/>
        <w:autoSpaceDN w:val="0"/>
        <w:adjustRightInd w:val="0"/>
        <w:spacing w:before="0" w:after="0" w:line="360" w:lineRule="auto"/>
        <w:jc w:val="left"/>
        <w:textAlignment w:val="baseline"/>
        <w:rPr>
          <w:rFonts w:ascii="宋体" w:hAnsi="宋体" w:cs="宋体"/>
          <w:sz w:val="24"/>
          <w:szCs w:val="24"/>
        </w:rPr>
      </w:pPr>
      <w:r>
        <w:rPr>
          <w:rFonts w:hint="eastAsia" w:ascii="宋体" w:hAnsi="宋体" w:cs="宋体"/>
          <w:sz w:val="24"/>
          <w:szCs w:val="24"/>
        </w:rPr>
        <w:t>五、实施、验收与售后服务要求</w:t>
      </w:r>
    </w:p>
    <w:p>
      <w:pPr>
        <w:pStyle w:val="21"/>
        <w:numPr>
          <w:ilvl w:val="0"/>
          <w:numId w:val="8"/>
        </w:numPr>
        <w:spacing w:line="360" w:lineRule="auto"/>
        <w:ind w:firstLineChars="0"/>
        <w:rPr>
          <w:rFonts w:ascii="宋体" w:hAnsi="宋体" w:cs="宋体"/>
          <w:sz w:val="24"/>
          <w:szCs w:val="24"/>
        </w:rPr>
      </w:pPr>
      <w:r>
        <w:rPr>
          <w:rFonts w:hint="eastAsia" w:ascii="宋体" w:hAnsi="宋体" w:cs="宋体"/>
          <w:sz w:val="24"/>
          <w:szCs w:val="24"/>
        </w:rPr>
        <w:t>总体要求</w:t>
      </w:r>
    </w:p>
    <w:p>
      <w:pPr>
        <w:pStyle w:val="21"/>
        <w:numPr>
          <w:ilvl w:val="1"/>
          <w:numId w:val="8"/>
        </w:numPr>
        <w:spacing w:line="360" w:lineRule="auto"/>
        <w:ind w:firstLineChars="0"/>
        <w:rPr>
          <w:rFonts w:ascii="宋体" w:hAnsi="宋体" w:cs="宋体"/>
          <w:sz w:val="24"/>
          <w:szCs w:val="24"/>
        </w:rPr>
      </w:pPr>
      <w:r>
        <w:rPr>
          <w:rFonts w:hint="eastAsia" w:ascii="宋体" w:hAnsi="宋体" w:cs="宋体"/>
          <w:sz w:val="24"/>
          <w:szCs w:val="24"/>
        </w:rPr>
        <w:t>投标人应本着认真负责态度，组织技术队伍，认真做好项目的实施工作。在签订合同前，提出具体实施、服务、维护以及今后技术支持的措施计划和承诺。</w:t>
      </w:r>
    </w:p>
    <w:p>
      <w:pPr>
        <w:pStyle w:val="21"/>
        <w:numPr>
          <w:ilvl w:val="1"/>
          <w:numId w:val="8"/>
        </w:numPr>
        <w:spacing w:line="360" w:lineRule="auto"/>
        <w:ind w:firstLineChars="0"/>
        <w:rPr>
          <w:rFonts w:ascii="宋体" w:hAnsi="宋体" w:cs="宋体"/>
          <w:sz w:val="24"/>
          <w:szCs w:val="24"/>
        </w:rPr>
      </w:pPr>
      <w:r>
        <w:rPr>
          <w:rFonts w:hint="eastAsia" w:ascii="宋体" w:hAnsi="宋体" w:cs="宋体"/>
          <w:sz w:val="24"/>
          <w:szCs w:val="24"/>
        </w:rPr>
        <w:t>投标人必须提供项目实施计划，经用户方同意后，严格执行。如果遇到问题，由项目组提出项目变更说明，经医院和系统提供商确定后，修改计划。</w:t>
      </w:r>
    </w:p>
    <w:p>
      <w:pPr>
        <w:pStyle w:val="21"/>
        <w:numPr>
          <w:ilvl w:val="1"/>
          <w:numId w:val="8"/>
        </w:numPr>
        <w:spacing w:line="360" w:lineRule="auto"/>
        <w:ind w:firstLineChars="0"/>
        <w:rPr>
          <w:rFonts w:ascii="宋体" w:hAnsi="宋体" w:cs="宋体"/>
          <w:sz w:val="24"/>
          <w:szCs w:val="24"/>
        </w:rPr>
      </w:pPr>
      <w:r>
        <w:rPr>
          <w:rFonts w:hint="eastAsia" w:ascii="宋体" w:hAnsi="宋体" w:cs="宋体"/>
          <w:sz w:val="24"/>
          <w:szCs w:val="24"/>
        </w:rPr>
        <w:t>投标人应负责在项目验收时将系统的全部有关技术文件、资料、及安装、测试、验收报告等文档汇集成册交付用户方。</w:t>
      </w:r>
    </w:p>
    <w:p>
      <w:pPr>
        <w:pStyle w:val="21"/>
        <w:numPr>
          <w:ilvl w:val="1"/>
          <w:numId w:val="8"/>
        </w:numPr>
        <w:spacing w:line="360" w:lineRule="auto"/>
        <w:ind w:firstLineChars="0"/>
        <w:rPr>
          <w:rFonts w:ascii="宋体" w:hAnsi="宋体" w:cs="宋体"/>
          <w:sz w:val="24"/>
          <w:szCs w:val="24"/>
        </w:rPr>
      </w:pPr>
      <w:r>
        <w:rPr>
          <w:rFonts w:hint="eastAsia" w:ascii="宋体" w:hAnsi="宋体" w:cs="宋体"/>
          <w:sz w:val="24"/>
          <w:szCs w:val="24"/>
        </w:rPr>
        <w:t>结合医院实际情况，拟定详细的系统实施计划，包括同医院现有信息系统的对接、个性化定制、测试、试运行、培训及上线计划。承诺保证在合同规定时间内上线及上线后系统平稳运行。</w:t>
      </w:r>
    </w:p>
    <w:p>
      <w:pPr>
        <w:pStyle w:val="21"/>
        <w:numPr>
          <w:ilvl w:val="0"/>
          <w:numId w:val="8"/>
        </w:numPr>
        <w:spacing w:line="360" w:lineRule="auto"/>
        <w:ind w:firstLineChars="0"/>
        <w:rPr>
          <w:rFonts w:ascii="宋体" w:hAnsi="宋体" w:cs="宋体"/>
          <w:sz w:val="24"/>
          <w:szCs w:val="24"/>
        </w:rPr>
      </w:pPr>
      <w:r>
        <w:rPr>
          <w:rFonts w:hint="eastAsia" w:ascii="宋体" w:hAnsi="宋体" w:cs="宋体"/>
          <w:sz w:val="24"/>
          <w:szCs w:val="24"/>
        </w:rPr>
        <w:t>人员培训：投标人应负责使用人员的培训及考核。并在项目实施后继续按照医院要求继续定期培训和考核。培训对象包括信息科系统管理员、日常维护人员、技术层面人员（包括系统开发、程序版本控制、数据库维护）</w:t>
      </w:r>
      <w:r>
        <w:rPr>
          <w:rFonts w:hint="eastAsia" w:ascii="宋体" w:hAnsi="宋体" w:cs="宋体"/>
          <w:b/>
          <w:color w:val="00B0F0"/>
          <w:sz w:val="24"/>
          <w:szCs w:val="24"/>
        </w:rPr>
        <w:t>、</w:t>
      </w:r>
      <w:r>
        <w:rPr>
          <w:rFonts w:hint="eastAsia" w:ascii="宋体" w:hAnsi="宋体" w:cs="宋体"/>
          <w:sz w:val="24"/>
          <w:szCs w:val="24"/>
        </w:rPr>
        <w:t>非信息科的医院管理人员、操作员。系统管理人员培训内容为系统中涉及的相关技术内容；管理人员培训内容为系统流程和相关管理思想；操作员为系统的操作培训。</w:t>
      </w:r>
    </w:p>
    <w:p>
      <w:pPr>
        <w:pStyle w:val="21"/>
        <w:numPr>
          <w:ilvl w:val="0"/>
          <w:numId w:val="8"/>
        </w:numPr>
        <w:spacing w:line="360" w:lineRule="auto"/>
        <w:ind w:firstLineChars="0"/>
        <w:rPr>
          <w:rFonts w:ascii="宋体" w:hAnsi="宋体" w:cs="宋体"/>
          <w:sz w:val="24"/>
          <w:szCs w:val="24"/>
        </w:rPr>
      </w:pPr>
      <w:r>
        <w:rPr>
          <w:rFonts w:hint="eastAsia" w:ascii="宋体" w:hAnsi="宋体" w:cs="宋体"/>
          <w:sz w:val="24"/>
          <w:szCs w:val="24"/>
        </w:rPr>
        <w:t>对实施人员的要求</w:t>
      </w:r>
    </w:p>
    <w:p>
      <w:pPr>
        <w:pStyle w:val="21"/>
        <w:numPr>
          <w:ilvl w:val="1"/>
          <w:numId w:val="8"/>
        </w:numPr>
        <w:spacing w:line="360" w:lineRule="auto"/>
        <w:ind w:firstLineChars="0"/>
        <w:rPr>
          <w:rFonts w:ascii="宋体" w:hAnsi="宋体" w:cs="宋体"/>
          <w:sz w:val="24"/>
          <w:szCs w:val="24"/>
        </w:rPr>
      </w:pPr>
      <w:r>
        <w:rPr>
          <w:rFonts w:hint="eastAsia" w:ascii="宋体" w:hAnsi="宋体" w:cs="宋体"/>
          <w:sz w:val="24"/>
          <w:szCs w:val="24"/>
        </w:rPr>
        <w:t>系统在通过验收前必须现场留驻足够的实施人员。</w:t>
      </w:r>
    </w:p>
    <w:p>
      <w:pPr>
        <w:pStyle w:val="21"/>
        <w:numPr>
          <w:ilvl w:val="1"/>
          <w:numId w:val="8"/>
        </w:numPr>
        <w:spacing w:line="360" w:lineRule="auto"/>
        <w:ind w:firstLineChars="0"/>
        <w:rPr>
          <w:rFonts w:ascii="宋体" w:hAnsi="宋体" w:cs="宋体"/>
          <w:sz w:val="24"/>
          <w:szCs w:val="24"/>
        </w:rPr>
      </w:pPr>
      <w:r>
        <w:rPr>
          <w:rFonts w:hint="eastAsia" w:ascii="宋体" w:hAnsi="宋体" w:cs="宋体"/>
          <w:sz w:val="24"/>
          <w:szCs w:val="24"/>
        </w:rPr>
        <w:t>医院有权根据实施情况要求更换项目经理和实施人员。</w:t>
      </w:r>
    </w:p>
    <w:p>
      <w:pPr>
        <w:pStyle w:val="21"/>
        <w:numPr>
          <w:ilvl w:val="1"/>
          <w:numId w:val="8"/>
        </w:numPr>
        <w:spacing w:line="360" w:lineRule="auto"/>
        <w:ind w:firstLineChars="0"/>
        <w:rPr>
          <w:rFonts w:ascii="宋体" w:hAnsi="宋体" w:cs="宋体"/>
          <w:sz w:val="24"/>
          <w:szCs w:val="24"/>
        </w:rPr>
      </w:pPr>
      <w:r>
        <w:rPr>
          <w:rFonts w:hint="eastAsia" w:ascii="宋体" w:hAnsi="宋体" w:cs="宋体"/>
          <w:sz w:val="24"/>
          <w:szCs w:val="24"/>
        </w:rPr>
        <w:t>对投标人项目经理等级基本要求：要求投标人针对本项目成立项目小组，在投标文件中提供书面名单，人员一旦得到医院确认，无特殊理由不得随意变动，其中项目经理必须具有项目管理资质并有三级甲等综合性医院的信息系统实施经验，且项目经理未得到医院同意的情况下不得随意更换。</w:t>
      </w:r>
    </w:p>
    <w:p>
      <w:pPr>
        <w:pStyle w:val="21"/>
        <w:numPr>
          <w:ilvl w:val="0"/>
          <w:numId w:val="8"/>
        </w:numPr>
        <w:spacing w:line="360" w:lineRule="auto"/>
        <w:ind w:firstLineChars="0"/>
        <w:rPr>
          <w:rFonts w:ascii="宋体" w:hAnsi="宋体" w:cs="宋体"/>
          <w:sz w:val="24"/>
          <w:szCs w:val="24"/>
        </w:rPr>
      </w:pPr>
      <w:r>
        <w:rPr>
          <w:rFonts w:hint="eastAsia" w:ascii="宋体" w:hAnsi="宋体" w:cs="宋体"/>
          <w:sz w:val="24"/>
          <w:szCs w:val="24"/>
        </w:rPr>
        <w:t>技术文档:系统验收后投标人须提供详细的软件相关技术文档（含数据结构、数据流程图、系统字典说明等）、使用说明书、维护手册等文档资料。提供系统应急方案，提供维护和二次开发所需要的源代码及技术支持工具。文档包括但不限于以下内容：项目计划方案书、用户需求分析、数据库字典、项目概要设计书、安装测试手册、使用手册、验收报告等。</w:t>
      </w:r>
    </w:p>
    <w:p>
      <w:pPr>
        <w:pStyle w:val="21"/>
        <w:numPr>
          <w:ilvl w:val="0"/>
          <w:numId w:val="8"/>
        </w:numPr>
        <w:spacing w:line="360" w:lineRule="auto"/>
        <w:ind w:firstLineChars="0"/>
        <w:rPr>
          <w:rFonts w:ascii="宋体" w:hAnsi="宋体" w:cs="宋体"/>
          <w:sz w:val="24"/>
          <w:szCs w:val="24"/>
        </w:rPr>
      </w:pPr>
      <w:r>
        <w:rPr>
          <w:rFonts w:hint="eastAsia" w:ascii="宋体" w:hAnsi="宋体" w:cs="宋体"/>
          <w:sz w:val="24"/>
          <w:szCs w:val="24"/>
        </w:rPr>
        <w:t>系统维护、售后服务</w:t>
      </w:r>
    </w:p>
    <w:p>
      <w:pPr>
        <w:spacing w:line="360" w:lineRule="auto"/>
        <w:ind w:firstLine="480" w:firstLineChars="200"/>
        <w:rPr>
          <w:rFonts w:ascii="宋体" w:hAnsi="宋体" w:cs="宋体"/>
          <w:sz w:val="24"/>
        </w:rPr>
      </w:pPr>
      <w:r>
        <w:rPr>
          <w:rFonts w:hint="eastAsia" w:ascii="宋体" w:hAnsi="宋体" w:cs="宋体"/>
          <w:sz w:val="24"/>
        </w:rPr>
        <w:t>免费维护期：本项目验收合格后，投标人必须提供至少一年的免费功能增强性维护和软件升级、免费技术维护服务，其中包括系统维护、跟踪检测，保证投标人所投软件的正常运行。质保期内，供应商需保证提供如下售后服务：响应方式包括5*8小时电话、在线网络通信以及远程协助等方式为主，为医院科室成本核算操作用户在日常操作中遇到的业务问题、技术问题进行解答、指导；如遇特殊情况，可应甲方要求，提供现场服务。报修确认后60分钟内响应，2个工作日内出解决方案。</w:t>
      </w:r>
    </w:p>
    <w:p>
      <w:pPr>
        <w:pStyle w:val="21"/>
        <w:numPr>
          <w:ilvl w:val="1"/>
          <w:numId w:val="8"/>
        </w:numPr>
        <w:spacing w:line="360" w:lineRule="auto"/>
        <w:ind w:firstLineChars="0"/>
        <w:rPr>
          <w:rFonts w:ascii="宋体" w:hAnsi="宋体" w:cs="宋体"/>
          <w:sz w:val="24"/>
          <w:szCs w:val="24"/>
        </w:rPr>
      </w:pPr>
      <w:r>
        <w:rPr>
          <w:rFonts w:hint="eastAsia" w:ascii="宋体" w:hAnsi="宋体" w:cs="宋体"/>
          <w:sz w:val="24"/>
          <w:szCs w:val="24"/>
        </w:rPr>
        <w:t>售后服务的形式：</w:t>
      </w:r>
    </w:p>
    <w:p>
      <w:pPr>
        <w:pStyle w:val="21"/>
        <w:numPr>
          <w:ilvl w:val="2"/>
          <w:numId w:val="8"/>
        </w:numPr>
        <w:spacing w:line="360" w:lineRule="auto"/>
        <w:ind w:firstLineChars="0"/>
        <w:rPr>
          <w:rFonts w:ascii="宋体" w:hAnsi="宋体" w:cs="宋体"/>
          <w:sz w:val="24"/>
          <w:szCs w:val="24"/>
        </w:rPr>
      </w:pPr>
      <w:r>
        <w:rPr>
          <w:rFonts w:hint="eastAsia" w:ascii="宋体" w:hAnsi="宋体" w:cs="宋体"/>
          <w:sz w:val="24"/>
          <w:szCs w:val="24"/>
        </w:rPr>
        <w:t>现场支持：项目验收后1年内，投标人在现场至少派驻工程师1名，维持医院系统的正常运行，并接受医院信息科统一管理，经过医院确认后，无特殊原因不得随意更换，要保证人员的稳定性，更换人员需得到医院确认。若不符合医院要求，医院有权利要求更换现场维护人员。</w:t>
      </w:r>
    </w:p>
    <w:p>
      <w:pPr>
        <w:pStyle w:val="21"/>
        <w:numPr>
          <w:ilvl w:val="2"/>
          <w:numId w:val="8"/>
        </w:numPr>
        <w:spacing w:line="360" w:lineRule="auto"/>
        <w:ind w:firstLineChars="0"/>
        <w:rPr>
          <w:rFonts w:ascii="宋体" w:hAnsi="宋体" w:cs="宋体"/>
          <w:sz w:val="24"/>
          <w:szCs w:val="24"/>
        </w:rPr>
      </w:pPr>
      <w:r>
        <w:rPr>
          <w:rFonts w:hint="eastAsia" w:ascii="宋体" w:hAnsi="宋体" w:cs="宋体"/>
          <w:sz w:val="24"/>
          <w:szCs w:val="24"/>
        </w:rPr>
        <w:t>远程服务：医院允许投标人在现场人员不能排除故障时，授权通过电话线或VPN方式远程登录到院方网络系统进行免费的故障诊断和故障排除。</w:t>
      </w:r>
    </w:p>
    <w:p>
      <w:pPr>
        <w:pStyle w:val="21"/>
        <w:numPr>
          <w:ilvl w:val="2"/>
          <w:numId w:val="8"/>
        </w:numPr>
        <w:spacing w:line="360" w:lineRule="auto"/>
        <w:ind w:firstLineChars="0"/>
        <w:rPr>
          <w:rFonts w:ascii="宋体" w:hAnsi="宋体" w:cs="宋体"/>
          <w:sz w:val="24"/>
          <w:szCs w:val="24"/>
        </w:rPr>
      </w:pPr>
      <w:r>
        <w:rPr>
          <w:rFonts w:hint="eastAsia" w:ascii="宋体" w:hAnsi="宋体" w:cs="宋体"/>
          <w:sz w:val="24"/>
          <w:szCs w:val="24"/>
        </w:rPr>
        <w:t>政策性维护：今后因国家政策或政府、医院上级部门要求导致的被动性程序修改，投标人应及时提供程序修改服务，并确保系统的在政策要求的时限内正确运行，该费用包含在投标总价内，医院不再另行支付相关费用。</w:t>
      </w:r>
    </w:p>
    <w:p>
      <w:pPr>
        <w:pStyle w:val="21"/>
        <w:numPr>
          <w:ilvl w:val="2"/>
          <w:numId w:val="8"/>
        </w:numPr>
        <w:spacing w:line="360" w:lineRule="auto"/>
        <w:ind w:firstLineChars="0"/>
        <w:rPr>
          <w:rFonts w:ascii="宋体" w:hAnsi="宋体" w:cs="宋体"/>
          <w:sz w:val="24"/>
          <w:szCs w:val="24"/>
        </w:rPr>
      </w:pPr>
      <w:r>
        <w:rPr>
          <w:rFonts w:hint="eastAsia" w:ascii="宋体" w:hAnsi="宋体" w:cs="宋体"/>
          <w:sz w:val="24"/>
          <w:szCs w:val="24"/>
        </w:rPr>
        <w:t>其他售后服务承诺：在系统实施及保修期内，院方提出对软件更改的要求，投标人应予以满足。</w:t>
      </w:r>
    </w:p>
    <w:p>
      <w:pPr>
        <w:pStyle w:val="21"/>
        <w:numPr>
          <w:ilvl w:val="2"/>
          <w:numId w:val="8"/>
        </w:numPr>
        <w:spacing w:line="360" w:lineRule="auto"/>
        <w:ind w:firstLineChars="0"/>
        <w:rPr>
          <w:rFonts w:ascii="宋体" w:hAnsi="宋体" w:cs="宋体"/>
          <w:sz w:val="24"/>
          <w:szCs w:val="24"/>
        </w:rPr>
      </w:pPr>
      <w:r>
        <w:rPr>
          <w:rFonts w:hint="eastAsia" w:ascii="宋体" w:hAnsi="宋体" w:cs="宋体"/>
          <w:sz w:val="24"/>
          <w:szCs w:val="24"/>
        </w:rPr>
        <w:t>投标人须承诺除完成本项目所规定的应用信息系统建设内容外，还须配合医院对其他信息化建设中的问题进行技术配合，对于接口开发以及医院建设中涉及的信息系统技术问题，投标人须做无推诿承诺。</w:t>
      </w:r>
    </w:p>
    <w:p>
      <w:pPr>
        <w:pStyle w:val="21"/>
        <w:numPr>
          <w:ilvl w:val="2"/>
          <w:numId w:val="8"/>
        </w:numPr>
        <w:spacing w:line="360" w:lineRule="auto"/>
        <w:ind w:firstLineChars="0"/>
        <w:rPr>
          <w:rFonts w:ascii="宋体" w:hAnsi="宋体" w:cs="宋体"/>
          <w:sz w:val="24"/>
          <w:szCs w:val="24"/>
        </w:rPr>
      </w:pPr>
      <w:r>
        <w:rPr>
          <w:rFonts w:hint="eastAsia" w:ascii="宋体" w:hAnsi="宋体" w:cs="宋体"/>
          <w:sz w:val="24"/>
          <w:szCs w:val="24"/>
        </w:rPr>
        <w:t>系统软硬件保修要求:所有系统软硬件均必须原厂授权证明；系统软件必须提供至少1年7*24售后服务。</w:t>
      </w:r>
    </w:p>
    <w:p>
      <w:pPr>
        <w:pStyle w:val="21"/>
        <w:numPr>
          <w:ilvl w:val="0"/>
          <w:numId w:val="8"/>
        </w:numPr>
        <w:spacing w:line="360" w:lineRule="auto"/>
        <w:ind w:firstLineChars="0"/>
        <w:rPr>
          <w:rFonts w:ascii="宋体" w:hAnsi="宋体" w:cs="宋体"/>
          <w:sz w:val="24"/>
          <w:szCs w:val="24"/>
        </w:rPr>
      </w:pPr>
      <w:r>
        <w:rPr>
          <w:rFonts w:hint="eastAsia" w:ascii="宋体" w:hAnsi="宋体" w:cs="宋体"/>
          <w:sz w:val="24"/>
          <w:szCs w:val="24"/>
        </w:rPr>
        <w:t>项目验收</w:t>
      </w:r>
    </w:p>
    <w:p>
      <w:pPr>
        <w:spacing w:line="360" w:lineRule="auto"/>
        <w:ind w:firstLine="480" w:firstLineChars="200"/>
        <w:rPr>
          <w:rFonts w:ascii="宋体" w:hAnsi="宋体" w:cs="宋体"/>
          <w:sz w:val="24"/>
        </w:rPr>
      </w:pPr>
      <w:r>
        <w:rPr>
          <w:rFonts w:hint="eastAsia" w:ascii="宋体" w:hAnsi="宋体" w:cs="宋体"/>
          <w:sz w:val="24"/>
        </w:rPr>
        <w:t>系统验收合格的条件至少满足以下三个要求：试运行时性能满足合同要求；性能测试和试运行验收时出现的问题已被解决；已提供了合同的全部货物和资料。</w:t>
      </w:r>
    </w:p>
    <w:p>
      <w:pPr>
        <w:spacing w:before="78" w:after="78"/>
        <w:ind w:firstLine="480"/>
      </w:pPr>
    </w:p>
    <w:p>
      <w:pPr>
        <w:pStyle w:val="19"/>
        <w:rPr>
          <w:rFonts w:ascii="宋体" w:hAnsi="宋体" w:eastAsia="宋体" w:cs="宋体"/>
          <w:sz w:val="24"/>
          <w:szCs w:val="24"/>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numPr>
          <w:ilvl w:val="0"/>
          <w:numId w:val="5"/>
        </w:numPr>
        <w:rPr>
          <w:rFonts w:ascii="宋体" w:hAnsi="宋体" w:eastAsia="宋体" w:cs="宋体"/>
        </w:rPr>
      </w:pPr>
      <w:r>
        <w:rPr>
          <w:rFonts w:hint="eastAsia" w:ascii="宋体" w:hAnsi="宋体" w:eastAsia="宋体" w:cs="宋体"/>
        </w:rPr>
        <w:t>附件</w:t>
      </w: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pStyle w:val="19"/>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ascii="宋体"/>
          <w:sz w:val="24"/>
        </w:rPr>
        <w:t>:</w:t>
      </w:r>
      <w:r>
        <w:t xml:space="preserve"> </w:t>
      </w:r>
      <w:r>
        <w:rPr>
          <w:rFonts w:ascii="宋体"/>
          <w:sz w:val="24"/>
          <w:u w:val="single"/>
        </w:rPr>
        <w:t>2021-ETLX</w:t>
      </w:r>
      <w:r>
        <w:rPr>
          <w:rFonts w:hint="eastAsia" w:ascii="宋体"/>
          <w:sz w:val="24"/>
          <w:u w:val="single"/>
        </w:rPr>
        <w:t>XB</w:t>
      </w:r>
      <w:r>
        <w:rPr>
          <w:rFonts w:ascii="宋体"/>
          <w:sz w:val="24"/>
          <w:u w:val="single"/>
        </w:rPr>
        <w:t>-00</w:t>
      </w:r>
      <w:r>
        <w:rPr>
          <w:rFonts w:hint="eastAsia" w:ascii="宋体"/>
          <w:sz w:val="24"/>
          <w:u w:val="single"/>
        </w:rPr>
        <w:t>9</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罕见病临床科研管理项目</w:t>
      </w:r>
    </w:p>
    <w:p>
      <w:pPr>
        <w:spacing w:line="360" w:lineRule="auto"/>
        <w:ind w:firstLine="360" w:firstLineChars="150"/>
        <w:rPr>
          <w:rFonts w:ascii="宋体"/>
          <w:sz w:val="24"/>
        </w:rPr>
      </w:pPr>
      <w:r>
        <w:rPr>
          <w:rFonts w:hint="eastAsia" w:ascii="宋体"/>
          <w:sz w:val="24"/>
        </w:rPr>
        <w:t>报价明细：</w:t>
      </w:r>
    </w:p>
    <w:p>
      <w:pPr>
        <w:pStyle w:val="11"/>
        <w:ind w:left="0" w:firstLine="0"/>
      </w:pPr>
    </w:p>
    <w:tbl>
      <w:tblPr>
        <w:tblStyle w:val="12"/>
        <w:tblpPr w:leftFromText="180" w:rightFromText="180" w:vertAnchor="text" w:horzAnchor="page" w:tblpX="1185" w:tblpY="328"/>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60"/>
        <w:gridCol w:w="1770"/>
        <w:gridCol w:w="1713"/>
        <w:gridCol w:w="22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5" w:type="dxa"/>
            <w:vAlign w:val="center"/>
          </w:tcPr>
          <w:p>
            <w:pPr>
              <w:spacing w:after="120"/>
              <w:jc w:val="center"/>
              <w:rPr>
                <w:rFonts w:ascii="宋体" w:hAnsi="Calibri"/>
                <w:sz w:val="24"/>
              </w:rPr>
            </w:pPr>
            <w:r>
              <w:rPr>
                <w:rFonts w:hint="eastAsia" w:ascii="宋体" w:hAnsi="Calibri"/>
                <w:sz w:val="24"/>
              </w:rPr>
              <w:t>序号</w:t>
            </w:r>
          </w:p>
        </w:tc>
        <w:tc>
          <w:tcPr>
            <w:tcW w:w="1960" w:type="dxa"/>
            <w:vAlign w:val="center"/>
          </w:tcPr>
          <w:p>
            <w:pPr>
              <w:spacing w:after="120"/>
              <w:jc w:val="center"/>
              <w:rPr>
                <w:rFonts w:ascii="宋体" w:hAnsi="Calibri"/>
                <w:sz w:val="24"/>
              </w:rPr>
            </w:pPr>
            <w:r>
              <w:rPr>
                <w:rFonts w:hint="eastAsia" w:ascii="宋体" w:hAnsi="Calibri"/>
                <w:sz w:val="24"/>
              </w:rPr>
              <w:t>服务内容</w:t>
            </w:r>
          </w:p>
        </w:tc>
        <w:tc>
          <w:tcPr>
            <w:tcW w:w="1770" w:type="dxa"/>
            <w:vAlign w:val="center"/>
          </w:tcPr>
          <w:p>
            <w:pPr>
              <w:spacing w:after="120"/>
              <w:jc w:val="center"/>
              <w:rPr>
                <w:rFonts w:ascii="宋体" w:hAnsi="Calibri"/>
                <w:sz w:val="24"/>
              </w:rPr>
            </w:pPr>
            <w:r>
              <w:rPr>
                <w:rFonts w:hint="eastAsia" w:ascii="宋体" w:hAnsi="Calibri"/>
                <w:sz w:val="24"/>
              </w:rPr>
              <w:t>服务期限</w:t>
            </w:r>
          </w:p>
        </w:tc>
        <w:tc>
          <w:tcPr>
            <w:tcW w:w="1713" w:type="dxa"/>
            <w:vAlign w:val="center"/>
          </w:tcPr>
          <w:p>
            <w:pPr>
              <w:spacing w:after="120"/>
              <w:jc w:val="center"/>
              <w:rPr>
                <w:rFonts w:ascii="宋体" w:hAnsi="Calibri"/>
                <w:sz w:val="24"/>
              </w:rPr>
            </w:pPr>
            <w:r>
              <w:rPr>
                <w:rFonts w:hint="eastAsia" w:ascii="宋体" w:hAnsi="Calibri"/>
                <w:sz w:val="24"/>
              </w:rPr>
              <w:t>报价货币</w:t>
            </w:r>
          </w:p>
        </w:tc>
        <w:tc>
          <w:tcPr>
            <w:tcW w:w="2262" w:type="dxa"/>
            <w:vAlign w:val="center"/>
          </w:tcPr>
          <w:p>
            <w:pPr>
              <w:spacing w:after="120"/>
              <w:jc w:val="center"/>
              <w:rPr>
                <w:rFonts w:ascii="宋体" w:hAnsi="Calibri"/>
                <w:sz w:val="24"/>
              </w:rPr>
            </w:pPr>
            <w:r>
              <w:rPr>
                <w:rFonts w:hint="eastAsia" w:ascii="宋体" w:hAnsi="Calibri"/>
                <w:sz w:val="24"/>
              </w:rPr>
              <w:t>报价金额</w:t>
            </w:r>
          </w:p>
        </w:tc>
        <w:tc>
          <w:tcPr>
            <w:tcW w:w="2057" w:type="dxa"/>
            <w:vAlign w:val="center"/>
          </w:tcPr>
          <w:p>
            <w:pPr>
              <w:spacing w:after="120"/>
              <w:jc w:val="center"/>
              <w:rPr>
                <w:rFonts w:ascii="宋体" w:hAnsi="Calibri"/>
                <w:sz w:val="24"/>
              </w:rPr>
            </w:pPr>
            <w:r>
              <w:rPr>
                <w:rFonts w:hint="eastAsia" w:ascii="宋体" w:hAnsi="Calibr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spacing w:after="120"/>
              <w:jc w:val="center"/>
              <w:rPr>
                <w:rFonts w:ascii="宋体" w:hAnsi="Calibri"/>
                <w:sz w:val="24"/>
              </w:rPr>
            </w:pPr>
          </w:p>
        </w:tc>
        <w:tc>
          <w:tcPr>
            <w:tcW w:w="1960" w:type="dxa"/>
            <w:vAlign w:val="center"/>
          </w:tcPr>
          <w:p>
            <w:pPr>
              <w:spacing w:after="120"/>
              <w:ind w:left="420" w:leftChars="200" w:firstLine="420"/>
              <w:jc w:val="center"/>
              <w:rPr>
                <w:rFonts w:ascii="宋体" w:hAnsi="Calibri"/>
                <w:sz w:val="24"/>
              </w:rPr>
            </w:pPr>
          </w:p>
        </w:tc>
        <w:tc>
          <w:tcPr>
            <w:tcW w:w="1770" w:type="dxa"/>
            <w:vAlign w:val="center"/>
          </w:tcPr>
          <w:p>
            <w:pPr>
              <w:spacing w:after="120"/>
              <w:ind w:left="420" w:leftChars="200" w:firstLine="420"/>
              <w:jc w:val="center"/>
              <w:rPr>
                <w:rFonts w:ascii="宋体" w:hAnsi="Calibri"/>
                <w:sz w:val="24"/>
              </w:rPr>
            </w:pPr>
          </w:p>
        </w:tc>
        <w:tc>
          <w:tcPr>
            <w:tcW w:w="1713" w:type="dxa"/>
            <w:vAlign w:val="center"/>
          </w:tcPr>
          <w:p>
            <w:pPr>
              <w:spacing w:after="120"/>
              <w:ind w:left="420" w:leftChars="200" w:firstLine="420"/>
              <w:jc w:val="center"/>
              <w:rPr>
                <w:rFonts w:ascii="宋体" w:hAnsi="Calibri"/>
                <w:sz w:val="24"/>
              </w:rPr>
            </w:pPr>
          </w:p>
        </w:tc>
        <w:tc>
          <w:tcPr>
            <w:tcW w:w="2262" w:type="dxa"/>
            <w:vAlign w:val="center"/>
          </w:tcPr>
          <w:p>
            <w:pPr>
              <w:spacing w:after="120"/>
              <w:ind w:left="420" w:leftChars="200" w:firstLine="420"/>
              <w:jc w:val="center"/>
              <w:rPr>
                <w:rFonts w:ascii="宋体" w:hAnsi="Calibri"/>
                <w:sz w:val="24"/>
              </w:rPr>
            </w:pPr>
          </w:p>
        </w:tc>
        <w:tc>
          <w:tcPr>
            <w:tcW w:w="2057"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spacing w:after="120"/>
              <w:ind w:left="420" w:leftChars="200" w:firstLine="420"/>
              <w:jc w:val="center"/>
              <w:rPr>
                <w:rFonts w:ascii="宋体" w:hAnsi="Calibri"/>
                <w:sz w:val="24"/>
              </w:rPr>
            </w:pPr>
          </w:p>
        </w:tc>
        <w:tc>
          <w:tcPr>
            <w:tcW w:w="1960" w:type="dxa"/>
            <w:vAlign w:val="center"/>
          </w:tcPr>
          <w:p>
            <w:pPr>
              <w:spacing w:after="120"/>
              <w:ind w:left="420" w:leftChars="200" w:firstLine="420"/>
              <w:jc w:val="center"/>
              <w:rPr>
                <w:rFonts w:ascii="宋体" w:hAnsi="Calibri"/>
                <w:sz w:val="24"/>
              </w:rPr>
            </w:pPr>
          </w:p>
        </w:tc>
        <w:tc>
          <w:tcPr>
            <w:tcW w:w="1770" w:type="dxa"/>
            <w:vAlign w:val="center"/>
          </w:tcPr>
          <w:p>
            <w:pPr>
              <w:spacing w:after="120"/>
              <w:ind w:left="420" w:leftChars="200" w:firstLine="420"/>
              <w:jc w:val="center"/>
              <w:rPr>
                <w:rFonts w:ascii="宋体" w:hAnsi="Calibri"/>
                <w:sz w:val="24"/>
              </w:rPr>
            </w:pPr>
          </w:p>
        </w:tc>
        <w:tc>
          <w:tcPr>
            <w:tcW w:w="1713" w:type="dxa"/>
            <w:vAlign w:val="center"/>
          </w:tcPr>
          <w:p>
            <w:pPr>
              <w:spacing w:after="120"/>
              <w:ind w:left="420" w:leftChars="200" w:firstLine="420"/>
              <w:jc w:val="center"/>
              <w:rPr>
                <w:rFonts w:ascii="宋体" w:hAnsi="Calibri"/>
                <w:sz w:val="24"/>
              </w:rPr>
            </w:pPr>
          </w:p>
        </w:tc>
        <w:tc>
          <w:tcPr>
            <w:tcW w:w="2262" w:type="dxa"/>
            <w:vAlign w:val="center"/>
          </w:tcPr>
          <w:p>
            <w:pPr>
              <w:spacing w:after="120"/>
              <w:ind w:left="420" w:leftChars="200" w:firstLine="420"/>
              <w:jc w:val="center"/>
              <w:rPr>
                <w:rFonts w:ascii="宋体" w:hAnsi="Calibri"/>
                <w:sz w:val="24"/>
              </w:rPr>
            </w:pPr>
          </w:p>
        </w:tc>
        <w:tc>
          <w:tcPr>
            <w:tcW w:w="2057"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spacing w:after="120"/>
              <w:ind w:left="420" w:leftChars="200" w:firstLine="420"/>
              <w:jc w:val="center"/>
              <w:rPr>
                <w:rFonts w:ascii="宋体" w:hAnsi="Calibri"/>
                <w:sz w:val="24"/>
              </w:rPr>
            </w:pPr>
          </w:p>
        </w:tc>
        <w:tc>
          <w:tcPr>
            <w:tcW w:w="1960" w:type="dxa"/>
            <w:vAlign w:val="center"/>
          </w:tcPr>
          <w:p>
            <w:pPr>
              <w:spacing w:after="120"/>
              <w:ind w:left="420" w:leftChars="200" w:firstLine="420"/>
              <w:jc w:val="center"/>
              <w:rPr>
                <w:rFonts w:ascii="宋体" w:hAnsi="Calibri"/>
                <w:sz w:val="24"/>
              </w:rPr>
            </w:pPr>
          </w:p>
        </w:tc>
        <w:tc>
          <w:tcPr>
            <w:tcW w:w="1770" w:type="dxa"/>
            <w:vAlign w:val="center"/>
          </w:tcPr>
          <w:p>
            <w:pPr>
              <w:spacing w:after="120"/>
              <w:ind w:left="420" w:leftChars="200" w:firstLine="420"/>
              <w:jc w:val="center"/>
              <w:rPr>
                <w:rFonts w:ascii="宋体" w:hAnsi="Calibri"/>
                <w:sz w:val="24"/>
              </w:rPr>
            </w:pPr>
          </w:p>
        </w:tc>
        <w:tc>
          <w:tcPr>
            <w:tcW w:w="1713" w:type="dxa"/>
            <w:vAlign w:val="center"/>
          </w:tcPr>
          <w:p>
            <w:pPr>
              <w:spacing w:after="120"/>
              <w:ind w:left="420" w:leftChars="200" w:firstLine="420"/>
              <w:jc w:val="center"/>
              <w:rPr>
                <w:rFonts w:ascii="宋体" w:hAnsi="Calibri"/>
                <w:sz w:val="24"/>
              </w:rPr>
            </w:pPr>
          </w:p>
        </w:tc>
        <w:tc>
          <w:tcPr>
            <w:tcW w:w="2262" w:type="dxa"/>
            <w:vAlign w:val="center"/>
          </w:tcPr>
          <w:p>
            <w:pPr>
              <w:spacing w:after="120"/>
              <w:ind w:left="420" w:leftChars="200" w:firstLine="420"/>
              <w:jc w:val="center"/>
              <w:rPr>
                <w:rFonts w:ascii="宋体" w:hAnsi="Calibri"/>
                <w:sz w:val="24"/>
              </w:rPr>
            </w:pPr>
          </w:p>
        </w:tc>
        <w:tc>
          <w:tcPr>
            <w:tcW w:w="2057" w:type="dxa"/>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75" w:type="dxa"/>
            <w:gridSpan w:val="2"/>
            <w:vAlign w:val="center"/>
          </w:tcPr>
          <w:p>
            <w:pPr>
              <w:spacing w:after="120"/>
              <w:jc w:val="center"/>
              <w:rPr>
                <w:rFonts w:ascii="宋体" w:hAnsi="Calibri"/>
                <w:sz w:val="24"/>
              </w:rPr>
            </w:pPr>
            <w:r>
              <w:rPr>
                <w:rFonts w:hint="eastAsia" w:ascii="宋体" w:hAnsi="Calibri"/>
                <w:sz w:val="24"/>
              </w:rPr>
              <w:t>总价（元）：</w:t>
            </w:r>
          </w:p>
        </w:tc>
        <w:tc>
          <w:tcPr>
            <w:tcW w:w="7802" w:type="dxa"/>
            <w:gridSpan w:val="4"/>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75" w:type="dxa"/>
            <w:gridSpan w:val="2"/>
            <w:vAlign w:val="center"/>
          </w:tcPr>
          <w:p>
            <w:pPr>
              <w:spacing w:after="120"/>
              <w:jc w:val="center"/>
              <w:rPr>
                <w:rFonts w:ascii="宋体" w:hAnsi="Calibri"/>
                <w:sz w:val="24"/>
              </w:rPr>
            </w:pPr>
            <w:r>
              <w:rPr>
                <w:rFonts w:hint="eastAsia" w:ascii="宋体" w:hAnsi="Calibri"/>
                <w:sz w:val="24"/>
              </w:rPr>
              <w:t>总价（大写）：</w:t>
            </w:r>
          </w:p>
        </w:tc>
        <w:tc>
          <w:tcPr>
            <w:tcW w:w="7802" w:type="dxa"/>
            <w:gridSpan w:val="4"/>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75" w:type="dxa"/>
            <w:gridSpan w:val="2"/>
            <w:vAlign w:val="center"/>
          </w:tcPr>
          <w:p>
            <w:pPr>
              <w:spacing w:after="120"/>
              <w:jc w:val="center"/>
              <w:rPr>
                <w:rFonts w:ascii="宋体" w:hAnsi="Calibri"/>
                <w:sz w:val="24"/>
              </w:rPr>
            </w:pPr>
            <w:r>
              <w:rPr>
                <w:rFonts w:hint="eastAsia" w:ascii="宋体" w:hAnsi="Calibri"/>
                <w:sz w:val="24"/>
              </w:rPr>
              <w:t>备注：</w:t>
            </w:r>
          </w:p>
        </w:tc>
        <w:tc>
          <w:tcPr>
            <w:tcW w:w="7802" w:type="dxa"/>
            <w:gridSpan w:val="4"/>
            <w:vAlign w:val="center"/>
          </w:tcPr>
          <w:p>
            <w:pPr>
              <w:spacing w:after="120"/>
              <w:ind w:left="420" w:leftChars="200" w:firstLine="420"/>
              <w:jc w:val="center"/>
              <w:rPr>
                <w:rFonts w:ascii="宋体" w:hAnsi="Calibri"/>
                <w:sz w:val="24"/>
              </w:rPr>
            </w:pPr>
          </w:p>
        </w:tc>
      </w:tr>
    </w:tbl>
    <w:p>
      <w:pPr>
        <w:pStyle w:val="11"/>
        <w:ind w:left="0" w:firstLine="0"/>
      </w:pPr>
    </w:p>
    <w:p>
      <w:pPr>
        <w:pStyle w:val="11"/>
        <w:ind w:left="0" w:firstLine="0"/>
      </w:pPr>
    </w:p>
    <w:p>
      <w:pPr>
        <w:pStyle w:val="11"/>
      </w:pPr>
    </w:p>
    <w:p>
      <w:pPr>
        <w:pStyle w:val="11"/>
      </w:pPr>
    </w:p>
    <w:p>
      <w:pPr>
        <w:pStyle w:val="11"/>
      </w:pPr>
    </w:p>
    <w:p>
      <w:pPr>
        <w:spacing w:line="360" w:lineRule="auto"/>
        <w:ind w:firstLine="240" w:firstLineChars="100"/>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pStyle w:val="11"/>
        <w:ind w:left="0" w:firstLine="0"/>
      </w:pPr>
    </w:p>
    <w:p>
      <w:pPr>
        <w:pStyle w:val="11"/>
        <w:ind w:left="0" w:firstLine="0"/>
      </w:pPr>
    </w:p>
    <w:p>
      <w:pPr>
        <w:jc w:val="left"/>
        <w:rPr>
          <w:rFonts w:ascii="宋体" w:hAnsi="宋体" w:cs="宋体"/>
          <w:sz w:val="24"/>
        </w:rPr>
      </w:pPr>
      <w:r>
        <w:rPr>
          <w:rFonts w:hint="eastAsia" w:ascii="宋体" w:hAnsi="宋体" w:cs="宋体"/>
          <w:sz w:val="24"/>
        </w:rPr>
        <w:t xml:space="preserve"> 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2"/>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2"/>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2"/>
        <w:autoSpaceDE w:val="0"/>
        <w:autoSpaceDN w:val="0"/>
        <w:spacing w:before="120" w:after="120" w:line="240" w:lineRule="atLeast"/>
        <w:jc w:val="left"/>
        <w:rPr>
          <w:rFonts w:ascii="宋体" w:hAnsi="宋体" w:eastAsia="宋体" w:cs="宋体"/>
        </w:rPr>
      </w:pPr>
    </w:p>
    <w:p>
      <w:pPr>
        <w:pStyle w:val="22"/>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2"/>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 xml:space="preserve">：   </w:t>
      </w:r>
      <w:r>
        <w:rPr>
          <w:rFonts w:hint="eastAsia" w:ascii="宋体" w:hAnsi="宋体" w:cs="宋体"/>
          <w:b/>
          <w:sz w:val="32"/>
          <w:szCs w:val="20"/>
        </w:rPr>
        <w:t xml:space="preserve">            技术参数偏离表（格式）</w:t>
      </w:r>
    </w:p>
    <w:p>
      <w:pPr>
        <w:rPr>
          <w:rFonts w:ascii="宋体" w:hAnsi="宋体" w:cs="宋体"/>
        </w:rPr>
      </w:pPr>
    </w:p>
    <w:p>
      <w:pPr>
        <w:rPr>
          <w:rFonts w:ascii="宋体" w:hAnsi="宋体" w:cs="宋体"/>
          <w:sz w:val="24"/>
        </w:rPr>
      </w:pPr>
      <w:r>
        <w:rPr>
          <w:rFonts w:hint="eastAsia" w:ascii="宋体" w:hAnsi="宋体" w:cs="宋体"/>
          <w:sz w:val="24"/>
        </w:rPr>
        <w:t>供应商名称：____________________________</w:t>
      </w:r>
    </w:p>
    <w:p>
      <w:pPr>
        <w:rPr>
          <w:rFonts w:ascii="宋体" w:hAnsi="宋体" w:cs="宋体"/>
        </w:rPr>
      </w:pPr>
    </w:p>
    <w:p>
      <w:pPr>
        <w:rPr>
          <w:rFonts w:ascii="宋体" w:hAnsi="宋体" w:cs="宋体"/>
        </w:rPr>
      </w:pPr>
    </w:p>
    <w:tbl>
      <w:tblPr>
        <w:tblStyle w:val="1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货物需求一览表及技术规格”的相关内容，逐条说明所提供货物和服务已对遴选文件的需求做出了实质性的响应，并申明与需求的偏差和例外。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ascii="宋体" w:hAnsi="宋体" w:cs="宋体"/>
          <w:sz w:val="24"/>
          <w:u w:val="single"/>
        </w:rPr>
      </w:pPr>
    </w:p>
    <w:p>
      <w:pPr>
        <w:spacing w:beforeLines="50" w:afterLines="50" w:line="460" w:lineRule="atLeast"/>
        <w:rPr>
          <w:rFonts w:ascii="宋体" w:hAnsi="宋体"/>
          <w:sz w:val="24"/>
        </w:rPr>
      </w:pPr>
      <w:r>
        <w:rPr>
          <w:rFonts w:hint="eastAsia" w:ascii="宋体" w:hAnsi="宋体"/>
          <w:sz w:val="24"/>
        </w:rPr>
        <w:t>注：</w:t>
      </w:r>
    </w:p>
    <w:p>
      <w:pPr>
        <w:spacing w:beforeLines="50" w:afterLines="50" w:line="460" w:lineRule="atLeast"/>
        <w:rPr>
          <w:rFonts w:ascii="宋体" w:hAnsi="宋体"/>
          <w:sz w:val="24"/>
        </w:rPr>
      </w:pPr>
      <w:r>
        <w:rPr>
          <w:rFonts w:hint="eastAsia" w:ascii="宋体" w:hAnsi="宋体"/>
          <w:sz w:val="24"/>
        </w:rPr>
        <w:t>重大违法记录是指供应商因违法经营受到刑事处罚，或者责令停产停业吊销许可证或执照较大数额罚款等行政处罚。</w:t>
      </w:r>
    </w:p>
    <w:p>
      <w:pPr>
        <w:spacing w:beforeLines="50" w:afterLines="50" w:line="460" w:lineRule="atLeast"/>
        <w:rPr>
          <w:rFonts w:ascii="宋体" w:hAnsi="宋体"/>
          <w:sz w:val="24"/>
        </w:rPr>
      </w:pPr>
      <w:r>
        <w:rPr>
          <w:rFonts w:hint="eastAsia" w:ascii="宋体" w:hAnsi="宋体"/>
          <w:sz w:val="24"/>
        </w:rPr>
        <w:t>较大数额定义参照：上海市人民政府令 第35号 第四条（较大数额标准）本规定所称的较大数额，对个人是指5000元以上（或者等值物品价值）；对法人或者其他组织是指5万元以上（或者等值物品价值）。</w:t>
      </w:r>
    </w:p>
    <w:p>
      <w:pPr>
        <w:rPr>
          <w:rFonts w:ascii="宋体" w:hAnsi="宋体" w:cs="宋体"/>
          <w:sz w:val="24"/>
          <w:u w:val="single"/>
        </w:rPr>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附件7：无行贿犯罪记录声明函（格式）</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投标人代表签字:______________</w:t>
      </w:r>
    </w:p>
    <w:p>
      <w:pPr>
        <w:rPr>
          <w:rFonts w:ascii="宋体" w:hAnsi="宋体" w:cs="宋体"/>
          <w:sz w:val="24"/>
        </w:rPr>
      </w:pPr>
      <w:r>
        <w:rPr>
          <w:rFonts w:hint="eastAsia" w:ascii="宋体" w:hAnsi="宋体" w:cs="宋体"/>
          <w:sz w:val="24"/>
        </w:rPr>
        <w:t xml:space="preserve">日期:___________________  </w:t>
      </w:r>
    </w:p>
    <w:p>
      <w:pPr>
        <w:rPr>
          <w:rFonts w:ascii="宋体" w:hAnsi="宋体" w:cs="宋体"/>
          <w:sz w:val="24"/>
        </w:rPr>
      </w:pPr>
      <w:r>
        <w:rPr>
          <w:rFonts w:hint="eastAsia" w:ascii="宋体" w:hAnsi="宋体" w:cs="宋体"/>
          <w:sz w:val="24"/>
        </w:rPr>
        <w:t xml:space="preserve">投标人名称:______________________   </w:t>
      </w:r>
    </w:p>
    <w:p>
      <w:pPr>
        <w:rPr>
          <w:rFonts w:ascii="宋体" w:hAnsi="宋体" w:cs="宋体"/>
          <w:sz w:val="24"/>
        </w:rPr>
      </w:pPr>
      <w:r>
        <w:rPr>
          <w:rFonts w:hint="eastAsia" w:ascii="宋体" w:hAnsi="宋体" w:cs="宋体"/>
          <w:sz w:val="24"/>
        </w:rPr>
        <w:t xml:space="preserve">公章：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sectPr>
      <w:headerReference r:id="rId3" w:type="default"/>
      <w:footerReference r:id="rId4" w:type="default"/>
      <w:footerReference r:id="rId5" w:type="even"/>
      <w:pgSz w:w="11906" w:h="16838"/>
      <w:pgMar w:top="1440" w:right="1304" w:bottom="1440" w:left="1304"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11</w:t>
    </w:r>
    <w:r>
      <w:rPr>
        <w:rStyle w:val="15"/>
      </w:rPr>
      <w:fldChar w:fldCharType="end"/>
    </w: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CC30"/>
    <w:multiLevelType w:val="singleLevel"/>
    <w:tmpl w:val="9EBCCC30"/>
    <w:lvl w:ilvl="0" w:tentative="0">
      <w:start w:val="2"/>
      <w:numFmt w:val="decimal"/>
      <w:suff w:val="space"/>
      <w:lvlText w:val="%1）"/>
      <w:lvlJc w:val="left"/>
    </w:lvl>
  </w:abstractNum>
  <w:abstractNum w:abstractNumId="1">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810C4B"/>
    <w:multiLevelType w:val="singleLevel"/>
    <w:tmpl w:val="18810C4B"/>
    <w:lvl w:ilvl="0" w:tentative="0">
      <w:start w:val="1"/>
      <w:numFmt w:val="decimal"/>
      <w:suff w:val="space"/>
      <w:lvlText w:val="%1）"/>
      <w:lvlJc w:val="left"/>
    </w:lvl>
  </w:abstractNum>
  <w:abstractNum w:abstractNumId="4">
    <w:nsid w:val="1AA422F5"/>
    <w:multiLevelType w:val="singleLevel"/>
    <w:tmpl w:val="1AA422F5"/>
    <w:lvl w:ilvl="0" w:tentative="0">
      <w:start w:val="1"/>
      <w:numFmt w:val="bullet"/>
      <w:lvlText w:val=""/>
      <w:lvlJc w:val="left"/>
      <w:pPr>
        <w:ind w:left="420" w:hanging="420"/>
      </w:pPr>
      <w:rPr>
        <w:rFonts w:hint="default" w:ascii="Wingdings" w:hAnsi="Wingdings"/>
      </w:rPr>
    </w:lvl>
  </w:abstractNum>
  <w:abstractNum w:abstractNumId="5">
    <w:nsid w:val="1C6E5812"/>
    <w:multiLevelType w:val="multilevel"/>
    <w:tmpl w:val="1C6E5812"/>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6">
    <w:nsid w:val="399E2DD7"/>
    <w:multiLevelType w:val="multilevel"/>
    <w:tmpl w:val="399E2DD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7">
    <w:nsid w:val="4F968C7E"/>
    <w:multiLevelType w:val="singleLevel"/>
    <w:tmpl w:val="4F968C7E"/>
    <w:lvl w:ilvl="0" w:tentative="0">
      <w:start w:val="1"/>
      <w:numFmt w:val="chineseCounting"/>
      <w:suff w:val="nothing"/>
      <w:lvlText w:val="%1、"/>
      <w:lvlJc w:val="left"/>
      <w:rPr>
        <w:rFonts w:hint="eastAsi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2CF48FF"/>
    <w:rsid w:val="000A3D73"/>
    <w:rsid w:val="00132995"/>
    <w:rsid w:val="00135B99"/>
    <w:rsid w:val="0E3E438E"/>
    <w:rsid w:val="12CF48FF"/>
    <w:rsid w:val="14F46C58"/>
    <w:rsid w:val="183418C5"/>
    <w:rsid w:val="1BEA413D"/>
    <w:rsid w:val="29EF4E3F"/>
    <w:rsid w:val="310F7B88"/>
    <w:rsid w:val="34DC1CBC"/>
    <w:rsid w:val="42257B41"/>
    <w:rsid w:val="4B33561D"/>
    <w:rsid w:val="4B9C72A1"/>
    <w:rsid w:val="4BB87006"/>
    <w:rsid w:val="4D775F5B"/>
    <w:rsid w:val="4E0B5264"/>
    <w:rsid w:val="4F43088D"/>
    <w:rsid w:val="50204B18"/>
    <w:rsid w:val="56717324"/>
    <w:rsid w:val="5EC1318E"/>
    <w:rsid w:val="6BD90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link w:val="24"/>
    <w:uiPriority w:val="0"/>
    <w:pPr>
      <w:jc w:val="left"/>
    </w:pPr>
  </w:style>
  <w:style w:type="paragraph" w:styleId="5">
    <w:name w:val="Body Text Indent"/>
    <w:basedOn w:val="1"/>
    <w:qFormat/>
    <w:uiPriority w:val="0"/>
    <w:pPr>
      <w:spacing w:line="360" w:lineRule="auto"/>
      <w:ind w:left="420" w:firstLine="420"/>
    </w:pPr>
    <w:rPr>
      <w:rFonts w:ascii="宋体" w:hAnsi="宋体"/>
      <w:sz w:val="24"/>
      <w:shd w:val="pct10" w:color="auto" w:fill="FFFFFF"/>
    </w:rPr>
  </w:style>
  <w:style w:type="paragraph" w:styleId="6">
    <w:name w:val="Balloon Text"/>
    <w:basedOn w:val="1"/>
    <w:link w:val="26"/>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rFonts w:ascii="楷体_GB2312" w:eastAsia="楷体_GB2312"/>
      <w:b/>
      <w:sz w:val="72"/>
      <w:szCs w:val="20"/>
    </w:rPr>
  </w:style>
  <w:style w:type="paragraph" w:styleId="10">
    <w:name w:val="annotation subject"/>
    <w:basedOn w:val="4"/>
    <w:next w:val="4"/>
    <w:link w:val="25"/>
    <w:qFormat/>
    <w:uiPriority w:val="0"/>
    <w:rPr>
      <w:b/>
      <w:bCs/>
    </w:rPr>
  </w:style>
  <w:style w:type="paragraph" w:styleId="11">
    <w:name w:val="Body Text First Indent 2"/>
    <w:basedOn w:val="5"/>
    <w:unhideWhenUsed/>
    <w:qFormat/>
    <w:uiPriority w:val="99"/>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style>
  <w:style w:type="character" w:styleId="16">
    <w:name w:val="Hyperlink"/>
    <w:unhideWhenUsed/>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ITB-0"/>
    <w:basedOn w:val="1"/>
    <w:qFormat/>
    <w:uiPriority w:val="0"/>
    <w:pPr>
      <w:adjustRightInd w:val="0"/>
      <w:jc w:val="center"/>
    </w:pPr>
    <w:rPr>
      <w:b/>
      <w:sz w:val="32"/>
      <w:szCs w:val="20"/>
    </w:rPr>
  </w:style>
  <w:style w:type="paragraph" w:customStyle="1" w:styleId="1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0">
    <w:name w:val="ifb-1"/>
    <w:basedOn w:val="1"/>
    <w:qFormat/>
    <w:uiPriority w:val="0"/>
    <w:pPr>
      <w:ind w:left="420" w:hanging="420"/>
    </w:pPr>
    <w:rPr>
      <w:rFonts w:ascii="楷体_GB2312" w:eastAsia="楷体_GB2312"/>
      <w:szCs w:val="20"/>
    </w:rPr>
  </w:style>
  <w:style w:type="paragraph" w:customStyle="1" w:styleId="21">
    <w:name w:val="列出段落1"/>
    <w:basedOn w:val="1"/>
    <w:qFormat/>
    <w:uiPriority w:val="0"/>
    <w:pPr>
      <w:ind w:firstLine="420" w:firstLineChars="200"/>
    </w:pPr>
    <w:rPr>
      <w:rFonts w:ascii="Calibri" w:hAnsi="Calibri"/>
      <w:szCs w:val="22"/>
    </w:rPr>
  </w:style>
  <w:style w:type="paragraph" w:customStyle="1" w:styleId="22">
    <w:name w:val="att"/>
    <w:basedOn w:val="1"/>
    <w:qFormat/>
    <w:uiPriority w:val="0"/>
    <w:pPr>
      <w:spacing w:line="360" w:lineRule="auto"/>
    </w:pPr>
    <w:rPr>
      <w:rFonts w:eastAsia="楷体_GB2312"/>
      <w:sz w:val="24"/>
      <w:szCs w:val="20"/>
    </w:rPr>
  </w:style>
  <w:style w:type="character" w:customStyle="1" w:styleId="23">
    <w:name w:val="标题 1 Char"/>
    <w:basedOn w:val="14"/>
    <w:link w:val="3"/>
    <w:qFormat/>
    <w:uiPriority w:val="0"/>
    <w:rPr>
      <w:rFonts w:ascii="Times New Roman" w:hAnsi="Times New Roman" w:eastAsia="宋体" w:cs="Times New Roman"/>
      <w:b/>
      <w:bCs/>
      <w:kern w:val="44"/>
      <w:sz w:val="44"/>
      <w:szCs w:val="44"/>
    </w:rPr>
  </w:style>
  <w:style w:type="character" w:customStyle="1" w:styleId="24">
    <w:name w:val="批注文字 Char"/>
    <w:basedOn w:val="14"/>
    <w:link w:val="4"/>
    <w:qFormat/>
    <w:uiPriority w:val="0"/>
    <w:rPr>
      <w:rFonts w:ascii="Times New Roman" w:hAnsi="Times New Roman" w:eastAsia="宋体" w:cs="Times New Roman"/>
      <w:kern w:val="2"/>
      <w:sz w:val="21"/>
      <w:szCs w:val="24"/>
    </w:rPr>
  </w:style>
  <w:style w:type="character" w:customStyle="1" w:styleId="25">
    <w:name w:val="批注主题 Char"/>
    <w:basedOn w:val="24"/>
    <w:link w:val="10"/>
    <w:qFormat/>
    <w:uiPriority w:val="0"/>
    <w:rPr>
      <w:b/>
      <w:bCs/>
    </w:rPr>
  </w:style>
  <w:style w:type="character" w:customStyle="1" w:styleId="26">
    <w:name w:val="批注框文本 Char"/>
    <w:basedOn w:val="14"/>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1144</Words>
  <Characters>6526</Characters>
  <Lines>54</Lines>
  <Paragraphs>15</Paragraphs>
  <TotalTime>17</TotalTime>
  <ScaleCrop>false</ScaleCrop>
  <LinksUpToDate>false</LinksUpToDate>
  <CharactersWithSpaces>7655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2021-10-21T02:50:00Z</dcterms:created>
  <dc:creator>共享账号请勿修改密码</dc:creator>
  <cp:lastModifiedBy>user</cp:lastModifiedBy>
  <dcterms:modified xsi:type="dcterms:W3CDTF">2021-12-27T06:16:40Z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C0A4FA04E5154C64B6FF3065E5AB2B9D</vt:lpwstr>
  </property>
</Properties>
</file>