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ascii="宋体" w:hAnsi="宋体" w:eastAsia="宋体" w:cs="宋体"/>
          <w:sz w:val="60"/>
          <w:szCs w:val="60"/>
        </w:rPr>
      </w:pPr>
      <w:r>
        <w:rPr>
          <w:rFonts w:hint="eastAsia" w:ascii="宋体" w:hAnsi="宋体" w:eastAsia="宋体" w:cs="宋体"/>
          <w:sz w:val="60"/>
          <w:szCs w:val="60"/>
          <w:lang w:val="en-US" w:eastAsia="zh-CN"/>
        </w:rPr>
        <w:t>蓄电池采购</w:t>
      </w:r>
      <w:r>
        <w:rPr>
          <w:rFonts w:hint="eastAsia" w:ascii="宋体" w:hAnsi="宋体" w:eastAsia="宋体" w:cs="宋体"/>
          <w:sz w:val="60"/>
          <w:szCs w:val="60"/>
        </w:rPr>
        <w:t>项目</w:t>
      </w:r>
    </w:p>
    <w:p>
      <w:pPr>
        <w:pStyle w:val="12"/>
        <w:spacing w:line="312" w:lineRule="atLeast"/>
        <w:outlineLvl w:val="0"/>
        <w:rPr>
          <w:rFonts w:hint="eastAsia" w:ascii="宋体" w:hAnsi="宋体" w:cs="宋体"/>
          <w:sz w:val="60"/>
          <w:szCs w:val="60"/>
        </w:rPr>
      </w:pPr>
    </w:p>
    <w:p>
      <w:pPr>
        <w:pStyle w:val="12"/>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val="en-US"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8</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12</w:t>
      </w:r>
      <w:r>
        <w:rPr>
          <w:rFonts w:hint="eastAsia" w:ascii="宋体" w:hAnsi="宋体" w:eastAsia="宋体" w:cs="宋体"/>
          <w:sz w:val="36"/>
        </w:rPr>
        <w:t>月</w:t>
      </w:r>
      <w:r>
        <w:rPr>
          <w:rFonts w:hint="eastAsia" w:ascii="宋体" w:hAnsi="宋体" w:eastAsia="宋体" w:cs="宋体"/>
          <w:sz w:val="36"/>
          <w:lang w:val="en-US" w:eastAsia="zh-CN"/>
        </w:rPr>
        <w:t>15</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3"/>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val="en-US" w:eastAsia="zh-CN"/>
        </w:rPr>
      </w:pPr>
      <w:r>
        <w:rPr>
          <w:rFonts w:hint="eastAsia" w:ascii="宋体" w:hAnsi="宋体" w:cs="宋体"/>
          <w:sz w:val="24"/>
        </w:rPr>
        <w:t>遴选编号：2021-ETLXXB-00</w:t>
      </w:r>
      <w:r>
        <w:rPr>
          <w:rFonts w:hint="eastAsia" w:ascii="宋体" w:hAnsi="宋体" w:cs="宋体"/>
          <w:sz w:val="24"/>
          <w:lang w:val="en-US" w:eastAsia="zh-CN"/>
        </w:rPr>
        <w:t>8</w:t>
      </w:r>
    </w:p>
    <w:p>
      <w:pPr>
        <w:pStyle w:val="14"/>
        <w:numPr>
          <w:ilvl w:val="0"/>
          <w:numId w:val="1"/>
        </w:numPr>
        <w:autoSpaceDE w:val="0"/>
        <w:autoSpaceDN w:val="0"/>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rPr>
        <w:t>根据医院有关规定，经院主管部门批准，我院</w:t>
      </w:r>
      <w:r>
        <w:rPr>
          <w:rFonts w:hint="eastAsia" w:ascii="宋体" w:hAnsi="宋体" w:eastAsia="宋体" w:cs="宋体"/>
          <w:sz w:val="24"/>
          <w:szCs w:val="24"/>
          <w:highlight w:val="none"/>
        </w:rPr>
        <w:t>拟对</w:t>
      </w:r>
      <w:r>
        <w:rPr>
          <w:rFonts w:hint="eastAsia" w:ascii="宋体" w:hAnsi="宋体" w:eastAsia="宋体" w:cs="宋体"/>
          <w:sz w:val="24"/>
          <w:szCs w:val="24"/>
          <w:highlight w:val="none"/>
          <w:lang w:val="en-US" w:eastAsia="zh-CN"/>
        </w:rPr>
        <w:t>蓄电池采购</w:t>
      </w:r>
      <w:r>
        <w:rPr>
          <w:rFonts w:hint="eastAsia" w:ascii="宋体" w:hAnsi="宋体" w:eastAsia="宋体" w:cs="宋体"/>
          <w:sz w:val="24"/>
          <w:szCs w:val="24"/>
          <w:highlight w:val="none"/>
        </w:rPr>
        <w:t>项目现以院内遴选采购的方式就下列所提供的货物和相关服务进行采购。</w:t>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7"/>
        <w:tblW w:w="8037" w:type="dxa"/>
        <w:tblInd w:w="777" w:type="dxa"/>
        <w:tblLayout w:type="autofit"/>
        <w:tblCellMar>
          <w:top w:w="0" w:type="dxa"/>
          <w:left w:w="108" w:type="dxa"/>
          <w:bottom w:w="0" w:type="dxa"/>
          <w:right w:w="108" w:type="dxa"/>
        </w:tblCellMar>
      </w:tblPr>
      <w:tblGrid>
        <w:gridCol w:w="1205"/>
        <w:gridCol w:w="2985"/>
        <w:gridCol w:w="1650"/>
        <w:gridCol w:w="2197"/>
      </w:tblGrid>
      <w:tr>
        <w:tblPrEx>
          <w:tblCellMar>
            <w:top w:w="0" w:type="dxa"/>
            <w:left w:w="108" w:type="dxa"/>
            <w:bottom w:w="0" w:type="dxa"/>
            <w:right w:w="108" w:type="dxa"/>
          </w:tblCellMar>
        </w:tblPrEx>
        <w:trPr>
          <w:trHeight w:val="402"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序号</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项目名称</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数量</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项目预算（元）</w:t>
            </w:r>
          </w:p>
        </w:tc>
      </w:tr>
      <w:tr>
        <w:tblPrEx>
          <w:tblCellMar>
            <w:top w:w="0" w:type="dxa"/>
            <w:left w:w="108" w:type="dxa"/>
            <w:bottom w:w="0" w:type="dxa"/>
            <w:right w:w="108" w:type="dxa"/>
          </w:tblCellMar>
        </w:tblPrEx>
        <w:trPr>
          <w:trHeight w:val="635"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蓄电池采购</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110000.00</w:t>
            </w:r>
          </w:p>
        </w:tc>
      </w:tr>
    </w:tbl>
    <w:p>
      <w:pPr>
        <w:pStyle w:val="14"/>
        <w:autoSpaceDE w:val="0"/>
        <w:autoSpaceDN w:val="0"/>
        <w:spacing w:line="360" w:lineRule="exact"/>
        <w:ind w:left="105" w:leftChars="50" w:firstLine="360" w:firstLine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说明：1、超过预算的投标将被否决。</w:t>
      </w:r>
    </w:p>
    <w:p>
      <w:pPr>
        <w:pStyle w:val="14"/>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4"/>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15</w:t>
      </w:r>
      <w:r>
        <w:rPr>
          <w:rFonts w:hint="eastAsia" w:ascii="宋体" w:hAnsi="宋体" w:eastAsia="宋体" w:cs="宋体"/>
          <w:b/>
          <w:sz w:val="24"/>
          <w:szCs w:val="24"/>
        </w:rPr>
        <w:t>日起至2021年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22</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4"/>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4"/>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4"/>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4"/>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highlight w:val="none"/>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highlight w:val="none"/>
        </w:rPr>
        <w:t>所有遴选响应文件务必</w:t>
      </w:r>
      <w:r>
        <w:rPr>
          <w:rFonts w:hint="eastAsia" w:ascii="宋体" w:hAnsi="宋体" w:eastAsia="宋体" w:cs="宋体"/>
          <w:sz w:val="24"/>
          <w:szCs w:val="24"/>
          <w:highlight w:val="none"/>
          <w:lang w:val="en-US" w:eastAsia="zh-CN"/>
        </w:rPr>
        <w:t>排版胶装并</w:t>
      </w:r>
      <w:r>
        <w:rPr>
          <w:rFonts w:hint="eastAsia" w:ascii="宋体" w:hAnsi="宋体" w:eastAsia="宋体" w:cs="宋体"/>
          <w:sz w:val="24"/>
          <w:szCs w:val="24"/>
          <w:highlight w:val="none"/>
        </w:rPr>
        <w:t>按要求密封后于2021年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10：15</w:t>
      </w:r>
      <w:r>
        <w:rPr>
          <w:rFonts w:hint="eastAsia" w:ascii="宋体" w:hAnsi="宋体" w:eastAsia="宋体" w:cs="宋体"/>
          <w:sz w:val="24"/>
          <w:szCs w:val="24"/>
          <w:highlight w:val="none"/>
        </w:rPr>
        <w:t>前提交上海市泸定路355号住院部503会议室，并于</w:t>
      </w:r>
      <w:r>
        <w:rPr>
          <w:rFonts w:hint="eastAsia" w:ascii="宋体" w:hAnsi="宋体" w:eastAsia="宋体" w:cs="宋体"/>
          <w:sz w:val="24"/>
          <w:szCs w:val="24"/>
          <w:highlight w:val="none"/>
          <w:u w:val="single"/>
        </w:rPr>
        <w:t>2021年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u w:val="single"/>
        </w:rPr>
        <w:t>日北京时间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30</w:t>
      </w:r>
      <w:bookmarkStart w:id="10" w:name="_GoBack"/>
      <w:bookmarkEnd w:id="10"/>
      <w:r>
        <w:rPr>
          <w:rFonts w:hint="eastAsia" w:ascii="宋体" w:hAnsi="宋体" w:eastAsia="宋体" w:cs="宋体"/>
          <w:sz w:val="24"/>
          <w:szCs w:val="24"/>
        </w:rPr>
        <w:t>在</w:t>
      </w:r>
      <w:r>
        <w:rPr>
          <w:rFonts w:hint="eastAsia" w:ascii="宋体" w:hAnsi="宋体" w:eastAsia="宋体" w:cs="宋体"/>
          <w:sz w:val="24"/>
          <w:szCs w:val="24"/>
          <w:u w:val="single"/>
        </w:rPr>
        <w:t>上海市泸定路355号住院部503会议室</w:t>
      </w:r>
      <w:r>
        <w:rPr>
          <w:rFonts w:hint="eastAsia" w:ascii="宋体" w:hAnsi="宋体" w:eastAsia="宋体" w:cs="宋体"/>
          <w:sz w:val="24"/>
          <w:szCs w:val="24"/>
        </w:rPr>
        <w:t>举行遴选开标，届时投标人可派代表出席开标会。</w:t>
      </w:r>
    </w:p>
    <w:p>
      <w:pPr>
        <w:pStyle w:val="14"/>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4"/>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4"/>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4"/>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35</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4" w:type="pct"/>
            <w:noWrap w:val="0"/>
            <w:vAlign w:val="top"/>
          </w:tcPr>
          <w:p>
            <w:pPr>
              <w:spacing w:line="360" w:lineRule="auto"/>
              <w:jc w:val="left"/>
              <w:rPr>
                <w:rFonts w:hint="eastAsia" w:ascii="宋体" w:hAnsi="宋体" w:cs="宋体"/>
                <w:color w:val="000000"/>
                <w:sz w:val="24"/>
              </w:rPr>
            </w:pPr>
            <w:r>
              <w:rPr>
                <w:rFonts w:hint="eastAsia" w:ascii="宋体" w:hAnsi="宋体" w:cs="宋体"/>
                <w:color w:val="000000"/>
                <w:sz w:val="24"/>
              </w:rPr>
              <w:t>根据投标人的</w:t>
            </w:r>
            <w:r>
              <w:rPr>
                <w:rFonts w:hint="eastAsia" w:ascii="宋体" w:hAnsi="宋体" w:cs="宋体"/>
                <w:color w:val="000000"/>
                <w:sz w:val="24"/>
                <w:lang w:val="en-US" w:eastAsia="zh-CN"/>
              </w:rPr>
              <w:t>综合实力、投标产品用户名单、投标设备品牌等综合评定</w:t>
            </w:r>
            <w:r>
              <w:rPr>
                <w:rFonts w:hint="eastAsia" w:ascii="宋体" w:hAnsi="宋体" w:cs="宋体"/>
                <w:color w:val="000000"/>
                <w:sz w:val="24"/>
              </w:rPr>
              <w:t>。</w:t>
            </w:r>
          </w:p>
          <w:p>
            <w:pPr>
              <w:spacing w:line="360" w:lineRule="auto"/>
              <w:jc w:val="left"/>
              <w:rPr>
                <w:rFonts w:ascii="宋体" w:hAnsi="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hint="eastAsia" w:ascii="宋体" w:hAnsi="宋体"/>
                <w:sz w:val="24"/>
              </w:rPr>
            </w:pPr>
            <w:r>
              <w:rPr>
                <w:rFonts w:hint="eastAsia" w:ascii="宋体" w:hAnsi="宋体"/>
                <w:sz w:val="24"/>
                <w:lang w:val="en-US" w:eastAsia="zh-CN"/>
              </w:rPr>
              <w:t>2、优惠条件</w:t>
            </w:r>
          </w:p>
        </w:tc>
        <w:tc>
          <w:tcPr>
            <w:tcW w:w="552"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分</w:t>
            </w:r>
          </w:p>
        </w:tc>
        <w:tc>
          <w:tcPr>
            <w:tcW w:w="3434" w:type="pct"/>
            <w:noWrap w:val="0"/>
            <w:vAlign w:val="top"/>
          </w:tcPr>
          <w:p>
            <w:pPr>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根据提供的优惠条件、配置情况等综合评定。</w:t>
            </w:r>
          </w:p>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c>
          <w:tcPr>
            <w:tcW w:w="3434"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投标设备的技术规格应满足第二章“货物需求一览表及技术规格”中所规定的要求。其中标注“▲”号的为关键技术参数，对任一关键技术参数低于招标文件要求或无技术支持资料的或技术支持资料无效的，其技术得分为0分；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cs="宋体"/>
                <w:color w:val="000000"/>
                <w:sz w:val="24"/>
              </w:rPr>
              <w:t>售后服务</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4" w:type="pct"/>
            <w:noWrap w:val="0"/>
            <w:vAlign w:val="center"/>
          </w:tcPr>
          <w:p>
            <w:pPr>
              <w:pStyle w:val="3"/>
              <w:ind w:left="-3" w:leftChars="-6" w:hanging="9" w:hangingChars="4"/>
              <w:rPr>
                <w:rFonts w:hint="eastAsia"/>
                <w:kern w:val="0"/>
                <w:shd w:val="clear" w:color="auto" w:fill="auto"/>
                <w:lang w:val="en-US" w:eastAsia="zh-CN"/>
              </w:rPr>
            </w:pPr>
            <w:r>
              <w:rPr>
                <w:rFonts w:hint="eastAsia"/>
                <w:kern w:val="0"/>
                <w:shd w:val="clear" w:color="auto" w:fill="auto"/>
                <w:lang w:val="en-US" w:eastAsia="zh-CN"/>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4"/>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1）合同签订完成后甲方收到乙方开具的发票后30个工作日内，支付合同总价的50%。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2）设备到货、安装调试后且项目完成验收后，甲方收到乙方开具的发票后30个工作日内，支付合同总价的50%。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验收后乙方应提供为期十二（12）个月的，结算总价5%的质量保证金。质量保证金由乙方用网银转账到甲方账号上。</w:t>
      </w:r>
    </w:p>
    <w:p>
      <w:pPr>
        <w:pStyle w:val="14"/>
        <w:autoSpaceDE w:val="0"/>
        <w:autoSpaceDN w:val="0"/>
        <w:spacing w:line="360" w:lineRule="exact"/>
        <w:ind w:left="0" w:leftChars="0" w:firstLine="0" w:firstLineChars="0"/>
        <w:jc w:val="left"/>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货物需求一览表及技术规格</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lang w:val="en-US" w:eastAsia="zh-CN"/>
        </w:rPr>
        <w:t>上海市儿童医院蓄电池采购项目</w:t>
      </w:r>
    </w:p>
    <w:p>
      <w:pPr>
        <w:numPr>
          <w:ilvl w:val="0"/>
          <w:numId w:val="6"/>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5"/>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lang w:val="en-US" w:eastAsia="zh-CN"/>
        </w:rPr>
        <w:t>实施周期</w:t>
      </w:r>
      <w:r>
        <w:rPr>
          <w:rFonts w:hint="eastAsia" w:ascii="宋体" w:hAnsi="宋体" w:cs="宋体"/>
          <w:b/>
          <w:bCs/>
          <w:sz w:val="24"/>
        </w:rPr>
        <w:t>：</w:t>
      </w:r>
      <w:r>
        <w:rPr>
          <w:rFonts w:hint="eastAsia" w:ascii="宋体" w:hAnsi="宋体" w:cs="宋体"/>
          <w:sz w:val="24"/>
        </w:rPr>
        <w:t>合同签订后12个月内</w:t>
      </w:r>
    </w:p>
    <w:p>
      <w:pPr>
        <w:spacing w:line="360" w:lineRule="auto"/>
        <w:rPr>
          <w:rFonts w:hint="eastAsia" w:ascii="宋体" w:hAnsi="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参数要求</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2"/>
        <w:gridCol w:w="8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b/>
                <w:bCs/>
                <w:sz w:val="24"/>
                <w:szCs w:val="24"/>
              </w:rPr>
            </w:pPr>
            <w:r>
              <w:rPr>
                <w:rFonts w:hint="eastAsia" w:ascii="宋体" w:hAnsi="宋体" w:cs="宋体"/>
                <w:b/>
                <w:bCs/>
                <w:sz w:val="24"/>
                <w:szCs w:val="24"/>
              </w:rPr>
              <w:t>电池</w:t>
            </w:r>
          </w:p>
        </w:tc>
        <w:tc>
          <w:tcPr>
            <w:tcW w:w="4400" w:type="pct"/>
            <w:shd w:val="clear" w:color="auto" w:fill="auto"/>
            <w:vAlign w:val="center"/>
          </w:tcPr>
          <w:p>
            <w:pPr>
              <w:widowControl/>
              <w:spacing w:line="240" w:lineRule="auto"/>
              <w:ind w:firstLine="0" w:firstLineChars="0"/>
              <w:jc w:val="left"/>
              <w:rPr>
                <w:rFonts w:ascii="宋体" w:hAnsi="宋体" w:cs="宋体"/>
                <w:b/>
                <w:bCs/>
                <w:sz w:val="24"/>
                <w:szCs w:val="24"/>
              </w:rPr>
            </w:pPr>
            <w:r>
              <w:rPr>
                <w:rFonts w:hint="eastAsia" w:ascii="宋体" w:hAnsi="宋体" w:cs="宋体"/>
                <w:b/>
                <w:bCs/>
                <w:sz w:val="24"/>
                <w:szCs w:val="24"/>
              </w:rPr>
              <w:t>铅酸蓄电池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UPS电池认证、资质要求</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为了保证投标的公平公正，防止以次充好，本次电池品牌要求采用可靠知名品牌的免维护密封铅酸蓄电池，生产产品需提供蓄电池制造商排污许可证（有效期内）等资质证明文件；进口产品须提供原产地函及海关报关单等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蓄电池产品必须提供国内权威的泰尔认证以及检测报告；蓄电池必须标配防漏液绝缘毯或防护托盘等防漏液措施，需具备防碰撞及控制蓄电池有效安装距离的设计，并提供技术方案及证明文件；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color w:val="000000" w:themeColor="text1"/>
                <w:sz w:val="24"/>
                <w:szCs w:val="24"/>
                <w14:textFill>
                  <w14:solidFill>
                    <w14:schemeClr w14:val="tx1"/>
                  </w14:solidFill>
                </w14:textFill>
              </w:rPr>
            </w:pPr>
          </w:p>
        </w:tc>
        <w:tc>
          <w:tcPr>
            <w:tcW w:w="4400" w:type="pct"/>
            <w:shd w:val="clear" w:color="auto" w:fill="auto"/>
            <w:vAlign w:val="center"/>
          </w:tcPr>
          <w:p>
            <w:pPr>
              <w:widowControl/>
              <w:spacing w:line="240" w:lineRule="auto"/>
              <w:ind w:firstLine="0"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蓄电池产品需提供提升蓄电池自身安全性及高效性所采取的方案及措施，</w:t>
            </w:r>
            <w:r>
              <w:rPr>
                <w:rFonts w:hint="eastAsia" w:cs="宋体" w:asciiTheme="majorEastAsia" w:hAnsiTheme="majorEastAsia" w:eastAsiaTheme="majorEastAsia"/>
                <w:color w:val="000000" w:themeColor="text1"/>
                <w:sz w:val="24"/>
                <w:szCs w:val="24"/>
                <w14:textFill>
                  <w14:solidFill>
                    <w14:schemeClr w14:val="tx1"/>
                  </w14:solidFill>
                </w14:textFill>
              </w:rPr>
              <w:t>蓄电池必须标配防漏液绝缘毯或防护托盘等防漏液措施，</w:t>
            </w:r>
            <w:r>
              <w:rPr>
                <w:rFonts w:hint="eastAsia" w:ascii="宋体" w:hAnsi="宋体" w:cs="宋体"/>
                <w:color w:val="000000" w:themeColor="text1"/>
                <w:sz w:val="24"/>
                <w:szCs w:val="24"/>
                <w14:textFill>
                  <w14:solidFill>
                    <w14:schemeClr w14:val="tx1"/>
                  </w14:solidFill>
                </w14:textFill>
              </w:rPr>
              <w:t>并提供技术方案及证明文件。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蓄电池产品需通过电信设备抗震性能检测，并提供认有效期内抗震合格证；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参数</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2</w:t>
            </w:r>
            <w:r>
              <w:rPr>
                <w:rFonts w:ascii="宋体" w:hAnsi="宋体"/>
                <w:sz w:val="24"/>
                <w:szCs w:val="24"/>
              </w:rPr>
              <w:t>00</w:t>
            </w:r>
            <w:r>
              <w:rPr>
                <w:rFonts w:hint="eastAsia" w:ascii="宋体" w:hAnsi="宋体" w:cs="宋体"/>
                <w:sz w:val="24"/>
                <w:szCs w:val="24"/>
              </w:rPr>
              <w:t>AH 12V</w:t>
            </w:r>
            <w:r>
              <w:rPr>
                <w:rFonts w:ascii="宋体" w:hAnsi="宋体" w:cs="宋体"/>
                <w:sz w:val="24"/>
                <w:szCs w:val="24"/>
              </w:rPr>
              <w:t xml:space="preserve"> </w:t>
            </w:r>
            <w:r>
              <w:rPr>
                <w:rFonts w:hint="eastAsia" w:ascii="宋体" w:hAnsi="宋体" w:cs="宋体"/>
                <w:sz w:val="24"/>
                <w:szCs w:val="24"/>
              </w:rPr>
              <w:t>的蓄电池；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外观要求：无变形、漏液、裂纹及污迹；标识清晰；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结构要求：正负极端子有明显标志，便于链接；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阻燃性能：符合YDT799-2010中6.4条的要求；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气密性：能承受50KPa正压或负压而不破裂、不开胶，压力释放后壳体无残余变形；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容量：10小时率放电：以1.0 I10A电流放电至终止电压1.80V时，放出容量≥C10,25℃)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      3小时率放电：以2.5 I10A电流放电至终止电压1.80V时，放出容量≥0.75C10,25℃)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      1小时率放电：以5.5 I10A电流放电至终止电压1.750V时，放出容量≥0.55C10,25℃)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大电流放电：以30I10放电3min，极柱不熔断，内部汇流排不熔断，外观不出现异常；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防酸雾性能：对完全充放电后的电池以0.2I10A，连续再充4小时，PH值应呈中性；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耐过充电能力：完全充电后电池以0.3I10A连续充电160小时，无变形，无漏液；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端电压均衡性：开路状态下，最高与最低电压差值≤90mV；浮充状态：进入浮充24小时后，端电压差值≤300mV；放电状态：端电压差值≤250mV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电池间连接电压降≤5mV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防爆性能：充电过程中，遇到明火，内部不引爆，不引燃；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封口剂性能：环境温度在-30℃~+65℃之间，封口剂无裂纹与溢流现象；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过度放电恢复能力：过度放电后容量恢复值≥95%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再充电性能：恒压充电24小时的再充电能力因素≥93%（12V）/≥89%（2V）；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容量一致性：同组蓄电池10小时率容量试验时，最大实际容量与最小实际容量差值≤4%（12V）/ ≤2%（2V）；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容量保存率：完全充电的蓄电池，在25±2°的环境中，静置28天后，其容量保持率应在98.5%C10以上；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密封反应效率：97%以上（12V）/98.5%以上（2V）；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蓄电池内阻：≤6mΩ（12V），同组蓄电池内助偏差≤10%； / ≤2mΩ（2V）（铅酸），同组蓄电池内助偏差≤11%；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蓄电池的计算方式应根据需求后备时间采用“恒功率”法，并提供蓄电池原厂放电参数数据。蓄电池最大并联组数不得超过4 组。每组电池必须配置独立的配电开关以方便维修操作。电池安装方式为开放式电池架方式。投标人需提供电池配置计算书。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蓄电池的安全阀有自动开启和关闭的功能，开阀压应是10--49kPa，闭阀压应是4--16kPa；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以第三方检测报告数据为准，并加盖制造厂商原厂公章；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本次需要采购电池数量为64节</w:t>
            </w:r>
          </w:p>
        </w:tc>
      </w:tr>
    </w:tbl>
    <w:p>
      <w:pPr>
        <w:pStyle w:val="2"/>
        <w:ind w:left="0" w:leftChars="0" w:firstLine="0" w:firstLineChars="0"/>
        <w:rPr>
          <w:rFonts w:hint="default"/>
          <w:lang w:val="en-US" w:eastAsia="zh-CN"/>
        </w:rPr>
      </w:pPr>
    </w:p>
    <w:p>
      <w:pPr>
        <w:pStyle w:val="13"/>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附件</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8</w:t>
      </w:r>
    </w:p>
    <w:p>
      <w:pPr>
        <w:spacing w:line="360" w:lineRule="auto"/>
        <w:ind w:firstLine="360" w:firstLineChars="150"/>
        <w:rPr>
          <w:rFonts w:hint="eastAsia" w:ascii="宋体"/>
          <w:sz w:val="24"/>
          <w:u w:val="single"/>
        </w:rPr>
      </w:pPr>
      <w:r>
        <w:rPr>
          <w:rFonts w:hint="eastAsia" w:ascii="宋体"/>
          <w:sz w:val="24"/>
        </w:rPr>
        <w:t>项目名称：</w:t>
      </w:r>
      <w:r>
        <w:rPr>
          <w:rFonts w:hint="eastAsia" w:ascii="宋体"/>
          <w:sz w:val="24"/>
          <w:highlight w:val="none"/>
          <w:u w:val="single"/>
          <w:lang w:val="en-US" w:eastAsia="zh-CN"/>
        </w:rPr>
        <w:t>蓄电池采购</w:t>
      </w:r>
      <w:r>
        <w:rPr>
          <w:rFonts w:hint="eastAsia" w:ascii="宋体"/>
          <w:sz w:val="24"/>
          <w:highlight w:val="none"/>
          <w:u w:val="single"/>
        </w:rPr>
        <w:t>项目</w:t>
      </w:r>
    </w:p>
    <w:p>
      <w:pPr>
        <w:spacing w:line="360" w:lineRule="auto"/>
        <w:ind w:firstLine="360" w:firstLineChars="150"/>
        <w:rPr>
          <w:rFonts w:hint="eastAsia" w:ascii="宋体"/>
          <w:sz w:val="24"/>
        </w:rPr>
      </w:pPr>
      <w:r>
        <w:rPr>
          <w:rFonts w:hint="eastAsia" w:ascii="宋体"/>
          <w:sz w:val="24"/>
        </w:rPr>
        <w:t>报价明细：</w:t>
      </w:r>
    </w:p>
    <w:tbl>
      <w:tblPr>
        <w:tblStyle w:val="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序号</w:t>
            </w:r>
          </w:p>
        </w:tc>
        <w:tc>
          <w:tcPr>
            <w:tcW w:w="1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设备名称</w:t>
            </w:r>
          </w:p>
        </w:tc>
        <w:tc>
          <w:tcPr>
            <w:tcW w:w="15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规格型号</w:t>
            </w:r>
          </w:p>
        </w:tc>
        <w:tc>
          <w:tcPr>
            <w:tcW w:w="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数量</w:t>
            </w:r>
          </w:p>
        </w:tc>
        <w:tc>
          <w:tcPr>
            <w:tcW w:w="154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制造商名称</w:t>
            </w:r>
          </w:p>
        </w:tc>
        <w:tc>
          <w:tcPr>
            <w:tcW w:w="1213"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单价（元）</w:t>
            </w:r>
          </w:p>
        </w:tc>
        <w:tc>
          <w:tcPr>
            <w:tcW w:w="128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合计（元）</w:t>
            </w:r>
          </w:p>
        </w:tc>
        <w:tc>
          <w:tcPr>
            <w:tcW w:w="1247"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总价（元）：</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总价（大写）：</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备注：</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bl>
    <w:p>
      <w:pPr>
        <w:pStyle w:val="2"/>
        <w:ind w:left="0" w:firstLine="0"/>
        <w:rPr>
          <w:rFonts w:hint="eastAsia"/>
        </w:rPr>
      </w:pPr>
    </w:p>
    <w:p>
      <w:pPr>
        <w:pStyle w:val="2"/>
        <w:ind w:left="0" w:firstLine="0"/>
        <w:rPr>
          <w:rFonts w:hint="eastAsia"/>
        </w:rPr>
      </w:pPr>
    </w:p>
    <w:p>
      <w:pPr>
        <w:pStyle w:val="2"/>
        <w:rPr>
          <w:rFonts w:hint="eastAsia"/>
        </w:rPr>
      </w:pPr>
    </w:p>
    <w:p>
      <w:pPr>
        <w:pStyle w:val="2"/>
        <w:ind w:left="0" w:leftChars="0" w:firstLine="0" w:firstLineChars="0"/>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6"/>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6"/>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6"/>
        <w:autoSpaceDE w:val="0"/>
        <w:autoSpaceDN w:val="0"/>
        <w:spacing w:before="120" w:after="120" w:line="240" w:lineRule="atLeast"/>
        <w:jc w:val="left"/>
        <w:rPr>
          <w:rFonts w:hint="eastAsia" w:ascii="宋体" w:hAnsi="宋体" w:eastAsia="宋体" w:cs="宋体"/>
        </w:rPr>
      </w:pP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4F968C7E"/>
    <w:multiLevelType w:val="singleLevel"/>
    <w:tmpl w:val="4F968C7E"/>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48FF"/>
    <w:rsid w:val="12CF48FF"/>
    <w:rsid w:val="1A6739DB"/>
    <w:rsid w:val="1B46741C"/>
    <w:rsid w:val="206F05CC"/>
    <w:rsid w:val="23345860"/>
    <w:rsid w:val="25194E91"/>
    <w:rsid w:val="29EF4E3F"/>
    <w:rsid w:val="310F7B88"/>
    <w:rsid w:val="48F92A96"/>
    <w:rsid w:val="4B33561D"/>
    <w:rsid w:val="4B9C72A1"/>
    <w:rsid w:val="4BB87006"/>
    <w:rsid w:val="50204B18"/>
    <w:rsid w:val="528F544E"/>
    <w:rsid w:val="56717324"/>
    <w:rsid w:val="6BD9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unhideWhenUsed/>
    <w:qFormat/>
    <w:uiPriority w:val="0"/>
    <w:rPr>
      <w:color w:val="0000FF"/>
      <w:u w:val="single"/>
    </w:rPr>
  </w:style>
  <w:style w:type="paragraph" w:customStyle="1" w:styleId="12">
    <w:name w:val="ITB-0"/>
    <w:basedOn w:val="1"/>
    <w:qFormat/>
    <w:uiPriority w:val="0"/>
    <w:pPr>
      <w:adjustRightInd w:val="0"/>
      <w:jc w:val="center"/>
    </w:pPr>
    <w:rPr>
      <w:b/>
      <w:sz w:val="32"/>
      <w:szCs w:val="20"/>
    </w:rPr>
  </w:style>
  <w:style w:type="paragraph" w:customStyle="1" w:styleId="13">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4">
    <w:name w:val="ifb-1"/>
    <w:basedOn w:val="1"/>
    <w:qFormat/>
    <w:uiPriority w:val="0"/>
    <w:pPr>
      <w:ind w:left="420" w:hanging="420"/>
    </w:pPr>
    <w:rPr>
      <w:rFonts w:ascii="楷体_GB2312" w:eastAsia="楷体_GB2312"/>
      <w:szCs w:val="20"/>
    </w:rPr>
  </w:style>
  <w:style w:type="paragraph" w:customStyle="1" w:styleId="15">
    <w:name w:val="List Paragraph"/>
    <w:basedOn w:val="1"/>
    <w:qFormat/>
    <w:uiPriority w:val="0"/>
    <w:pPr>
      <w:ind w:firstLine="420" w:firstLineChars="200"/>
    </w:pPr>
    <w:rPr>
      <w:rFonts w:ascii="Calibri" w:hAnsi="Calibri"/>
      <w:szCs w:val="22"/>
    </w:rPr>
  </w:style>
  <w:style w:type="paragraph" w:customStyle="1" w:styleId="16">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user</cp:lastModifiedBy>
  <dcterms:modified xsi:type="dcterms:W3CDTF">2021-12-14T00:38:12Z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C0A4FA04E5154C64B6FF3065E5AB2B9D</vt:lpwstr>
  </property>
</Properties>
</file>