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华文仿宋" w:hAnsi="华文仿宋" w:eastAsia="华文仿宋"/>
          <w:sz w:val="60"/>
          <w:szCs w:val="60"/>
        </w:rPr>
      </w:pPr>
    </w:p>
    <w:p>
      <w:pPr>
        <w:pStyle w:val="8"/>
        <w:rPr>
          <w:rFonts w:hint="eastAsia" w:ascii="宋体" w:hAnsi="宋体" w:eastAsia="宋体" w:cs="宋体"/>
          <w:sz w:val="60"/>
          <w:szCs w:val="60"/>
        </w:rPr>
      </w:pPr>
      <w:r>
        <w:rPr>
          <w:rFonts w:hint="eastAsia" w:ascii="宋体" w:hAnsi="宋体" w:eastAsia="宋体" w:cs="宋体"/>
          <w:sz w:val="60"/>
          <w:szCs w:val="60"/>
        </w:rPr>
        <w:t>上海市儿童医院</w:t>
      </w:r>
    </w:p>
    <w:p>
      <w:pPr>
        <w:pStyle w:val="8"/>
        <w:tabs>
          <w:tab w:val="center" w:pos="4479"/>
          <w:tab w:val="right" w:pos="8958"/>
        </w:tabs>
        <w:rPr>
          <w:rFonts w:hint="eastAsia" w:ascii="宋体" w:hAnsi="宋体" w:eastAsia="宋体" w:cs="宋体"/>
          <w:sz w:val="40"/>
          <w:szCs w:val="40"/>
        </w:rPr>
      </w:pPr>
    </w:p>
    <w:p>
      <w:pPr>
        <w:pStyle w:val="8"/>
        <w:tabs>
          <w:tab w:val="center" w:pos="4479"/>
          <w:tab w:val="right" w:pos="8958"/>
        </w:tabs>
        <w:rPr>
          <w:rFonts w:hint="eastAsia" w:ascii="宋体" w:hAnsi="宋体" w:eastAsia="宋体" w:cs="宋体"/>
          <w:sz w:val="40"/>
          <w:szCs w:val="40"/>
        </w:rPr>
      </w:pPr>
    </w:p>
    <w:p>
      <w:pPr>
        <w:pStyle w:val="8"/>
        <w:tabs>
          <w:tab w:val="center" w:pos="4479"/>
          <w:tab w:val="right" w:pos="8958"/>
        </w:tabs>
        <w:rPr>
          <w:rFonts w:hint="eastAsia" w:ascii="宋体" w:hAnsi="宋体" w:eastAsia="宋体" w:cs="宋体"/>
          <w:sz w:val="40"/>
          <w:szCs w:val="40"/>
        </w:rPr>
      </w:pPr>
    </w:p>
    <w:p>
      <w:pPr>
        <w:pStyle w:val="8"/>
        <w:tabs>
          <w:tab w:val="center" w:pos="4479"/>
          <w:tab w:val="right" w:pos="8958"/>
        </w:tabs>
        <w:rPr>
          <w:rFonts w:hint="eastAsia" w:ascii="宋体" w:hAnsi="宋体" w:eastAsia="宋体" w:cs="宋体"/>
          <w:sz w:val="60"/>
          <w:szCs w:val="60"/>
          <w:lang w:eastAsia="zh-CN"/>
        </w:rPr>
      </w:pPr>
      <w:r>
        <w:rPr>
          <w:rFonts w:hint="eastAsia" w:ascii="宋体" w:hAnsi="宋体" w:eastAsia="宋体" w:cs="宋体"/>
          <w:sz w:val="60"/>
          <w:szCs w:val="60"/>
        </w:rPr>
        <w:t>冰箱温度巡检系统（老院检验科</w:t>
      </w:r>
      <w:r>
        <w:rPr>
          <w:rFonts w:hint="eastAsia" w:ascii="宋体" w:hAnsi="宋体" w:eastAsia="宋体" w:cs="宋体"/>
          <w:sz w:val="60"/>
          <w:szCs w:val="60"/>
          <w:lang w:eastAsia="zh-CN"/>
        </w:rPr>
        <w:t>）</w:t>
      </w:r>
    </w:p>
    <w:p>
      <w:pPr>
        <w:pStyle w:val="8"/>
        <w:tabs>
          <w:tab w:val="center" w:pos="4479"/>
          <w:tab w:val="right" w:pos="8958"/>
        </w:tabs>
        <w:rPr>
          <w:rFonts w:hint="eastAsia" w:ascii="宋体" w:hAnsi="宋体" w:eastAsia="宋体" w:cs="宋体"/>
          <w:sz w:val="60"/>
          <w:szCs w:val="60"/>
        </w:rPr>
      </w:pPr>
      <w:r>
        <w:rPr>
          <w:rFonts w:hint="eastAsia" w:ascii="宋体" w:hAnsi="宋体" w:eastAsia="宋体" w:cs="宋体"/>
          <w:sz w:val="60"/>
          <w:szCs w:val="60"/>
        </w:rPr>
        <w:t>项目</w:t>
      </w:r>
    </w:p>
    <w:p>
      <w:pPr>
        <w:pStyle w:val="14"/>
        <w:spacing w:line="312" w:lineRule="atLeast"/>
        <w:outlineLvl w:val="0"/>
        <w:rPr>
          <w:rFonts w:hint="eastAsia" w:ascii="宋体" w:hAnsi="宋体" w:cs="宋体"/>
          <w:sz w:val="60"/>
          <w:szCs w:val="60"/>
        </w:rPr>
      </w:pPr>
    </w:p>
    <w:p>
      <w:pPr>
        <w:pStyle w:val="14"/>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遴选编号：2021-ETLXXB-00</w:t>
      </w:r>
      <w:r>
        <w:rPr>
          <w:rFonts w:hint="eastAsia" w:ascii="宋体" w:hAnsi="宋体" w:cs="宋体"/>
          <w:b/>
          <w:sz w:val="36"/>
          <w:szCs w:val="20"/>
          <w:lang w:val="en-US" w:eastAsia="zh-CN"/>
        </w:rPr>
        <w:t>3</w:t>
      </w:r>
    </w:p>
    <w:p>
      <w:pPr>
        <w:pStyle w:val="8"/>
        <w:rPr>
          <w:rFonts w:hint="eastAsia" w:ascii="宋体" w:hAnsi="宋体" w:eastAsia="宋体" w:cs="宋体"/>
          <w:sz w:val="36"/>
        </w:rPr>
      </w:pPr>
    </w:p>
    <w:p>
      <w:pPr>
        <w:pStyle w:val="8"/>
        <w:rPr>
          <w:rFonts w:hint="eastAsia" w:ascii="宋体" w:hAnsi="宋体" w:eastAsia="宋体" w:cs="宋体"/>
          <w:sz w:val="36"/>
        </w:rPr>
      </w:pPr>
      <w:r>
        <w:rPr>
          <w:rFonts w:hint="eastAsia" w:ascii="宋体" w:hAnsi="宋体" w:eastAsia="宋体" w:cs="宋体"/>
          <w:sz w:val="36"/>
        </w:rPr>
        <w:t>2021年0</w:t>
      </w:r>
      <w:r>
        <w:rPr>
          <w:rFonts w:hint="eastAsia" w:ascii="宋体" w:hAnsi="宋体" w:eastAsia="宋体" w:cs="宋体"/>
          <w:sz w:val="36"/>
          <w:lang w:val="en-US" w:eastAsia="zh-CN"/>
        </w:rPr>
        <w:t>8</w:t>
      </w:r>
      <w:r>
        <w:rPr>
          <w:rFonts w:hint="eastAsia" w:ascii="宋体" w:hAnsi="宋体" w:eastAsia="宋体" w:cs="宋体"/>
          <w:sz w:val="36"/>
        </w:rPr>
        <w:t>月</w:t>
      </w:r>
      <w:r>
        <w:rPr>
          <w:rFonts w:hint="eastAsia" w:ascii="宋体" w:hAnsi="宋体" w:eastAsia="宋体" w:cs="宋体"/>
          <w:sz w:val="36"/>
          <w:lang w:val="en-US" w:eastAsia="zh-CN"/>
        </w:rPr>
        <w:t>13</w:t>
      </w:r>
      <w:r>
        <w:rPr>
          <w:rFonts w:hint="eastAsia" w:ascii="宋体" w:hAnsi="宋体" w:eastAsia="宋体" w:cs="宋体"/>
          <w:sz w:val="36"/>
        </w:rPr>
        <w:t>日</w:t>
      </w:r>
    </w:p>
    <w:p>
      <w:pPr>
        <w:pStyle w:val="8"/>
        <w:rPr>
          <w:rFonts w:hint="eastAsia" w:ascii="宋体" w:hAnsi="宋体" w:eastAsia="宋体" w:cs="宋体"/>
          <w:sz w:val="36"/>
        </w:rPr>
      </w:pPr>
    </w:p>
    <w:p>
      <w:pPr>
        <w:pStyle w:val="8"/>
        <w:rPr>
          <w:rFonts w:hint="eastAsia" w:ascii="宋体" w:hAnsi="宋体" w:eastAsia="宋体" w:cs="宋体"/>
          <w:sz w:val="36"/>
        </w:rPr>
      </w:pPr>
    </w:p>
    <w:p>
      <w:pPr>
        <w:pStyle w:val="8"/>
        <w:rPr>
          <w:rFonts w:hint="eastAsia" w:ascii="宋体" w:hAnsi="宋体" w:eastAsia="宋体" w:cs="宋体"/>
          <w:sz w:val="36"/>
        </w:rPr>
      </w:pPr>
      <w:bookmarkStart w:id="10" w:name="_GoBack"/>
      <w:bookmarkEnd w:id="10"/>
    </w:p>
    <w:p>
      <w:pPr>
        <w:pStyle w:val="8"/>
        <w:rPr>
          <w:rFonts w:hint="eastAsia" w:ascii="宋体" w:hAnsi="宋体" w:eastAsia="宋体" w:cs="宋体"/>
          <w:sz w:val="36"/>
        </w:rPr>
      </w:pPr>
    </w:p>
    <w:p>
      <w:pPr>
        <w:pStyle w:val="15"/>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遴选编号：2021-ETLXXB-00</w:t>
      </w:r>
      <w:r>
        <w:rPr>
          <w:rFonts w:hint="eastAsia" w:ascii="宋体" w:hAnsi="宋体" w:cs="宋体"/>
          <w:sz w:val="24"/>
          <w:lang w:val="en-US" w:eastAsia="zh-CN"/>
        </w:rPr>
        <w:t>3</w:t>
      </w:r>
    </w:p>
    <w:p>
      <w:pPr>
        <w:pStyle w:val="16"/>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根据医院有关规定，经院主管部门批准，我院拟对冰箱温度巡检系统（老院检验科）现以院内遴选采购的方式就下列所提供的货物和相关服务进行采购。</w:t>
      </w:r>
    </w:p>
    <w:p>
      <w:pPr>
        <w:pStyle w:val="16"/>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9"/>
        <w:tblW w:w="7698" w:type="dxa"/>
        <w:jc w:val="center"/>
        <w:tblLayout w:type="autofit"/>
        <w:tblCellMar>
          <w:top w:w="0" w:type="dxa"/>
          <w:left w:w="108" w:type="dxa"/>
          <w:bottom w:w="0" w:type="dxa"/>
          <w:right w:w="108" w:type="dxa"/>
        </w:tblCellMar>
      </w:tblPr>
      <w:tblGrid>
        <w:gridCol w:w="1142"/>
        <w:gridCol w:w="3210"/>
        <w:gridCol w:w="1503"/>
        <w:gridCol w:w="1843"/>
      </w:tblGrid>
      <w:tr>
        <w:tblPrEx>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szCs w:val="21"/>
              </w:rPr>
            </w:pPr>
            <w:r>
              <w:rPr>
                <w:rFonts w:hint="eastAsia" w:ascii="宋体" w:hAnsi="宋体" w:cs="宋体"/>
                <w:szCs w:val="21"/>
              </w:rPr>
              <w:t>序号</w:t>
            </w:r>
          </w:p>
        </w:tc>
        <w:tc>
          <w:tcPr>
            <w:tcW w:w="3210"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szCs w:val="21"/>
              </w:rPr>
            </w:pPr>
            <w:r>
              <w:rPr>
                <w:rFonts w:hint="eastAsia" w:ascii="宋体" w:hAnsi="宋体" w:cs="宋体"/>
                <w:szCs w:val="21"/>
              </w:rPr>
              <w:t>项目名称</w:t>
            </w:r>
          </w:p>
        </w:tc>
        <w:tc>
          <w:tcPr>
            <w:tcW w:w="1503"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szCs w:val="21"/>
              </w:rPr>
            </w:pPr>
            <w:r>
              <w:rPr>
                <w:rFonts w:hint="eastAsia" w:ascii="宋体" w:hAnsi="宋体" w:cs="宋体"/>
                <w:szCs w:val="21"/>
              </w:rPr>
              <w:t>数量</w:t>
            </w:r>
          </w:p>
        </w:tc>
        <w:tc>
          <w:tcPr>
            <w:tcW w:w="1843"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18" w:hRule="exact"/>
          <w:jc w:val="center"/>
        </w:trPr>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32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rPr>
              <w:t>冰箱温度巡检系统（老院检验科）</w:t>
            </w:r>
          </w:p>
        </w:tc>
        <w:tc>
          <w:tcPr>
            <w:tcW w:w="15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150000.00</w:t>
            </w:r>
          </w:p>
        </w:tc>
      </w:tr>
    </w:tbl>
    <w:p>
      <w:pPr>
        <w:pStyle w:val="16"/>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16"/>
        <w:numPr>
          <w:ilvl w:val="0"/>
          <w:numId w:val="1"/>
        </w:numPr>
        <w:autoSpaceDE w:val="0"/>
        <w:autoSpaceDN w:val="0"/>
        <w:spacing w:line="360" w:lineRule="exact"/>
        <w:jc w:val="left"/>
        <w:rPr>
          <w:rFonts w:hint="eastAsia"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16"/>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2021年0</w:t>
      </w:r>
      <w:r>
        <w:rPr>
          <w:rFonts w:hint="eastAsia" w:ascii="宋体" w:hAnsi="宋体" w:eastAsia="宋体" w:cs="宋体"/>
          <w:b/>
          <w:sz w:val="24"/>
          <w:szCs w:val="24"/>
          <w:lang w:val="en-US" w:eastAsia="zh-CN"/>
        </w:rPr>
        <w:t>8</w:t>
      </w:r>
      <w:r>
        <w:rPr>
          <w:rFonts w:hint="eastAsia" w:ascii="宋体" w:hAnsi="宋体" w:eastAsia="宋体" w:cs="宋体"/>
          <w:b/>
          <w:sz w:val="24"/>
          <w:szCs w:val="24"/>
        </w:rPr>
        <w:t>月</w:t>
      </w:r>
      <w:r>
        <w:rPr>
          <w:rFonts w:hint="eastAsia" w:ascii="宋体" w:hAnsi="宋体" w:eastAsia="宋体" w:cs="宋体"/>
          <w:b/>
          <w:sz w:val="24"/>
          <w:szCs w:val="24"/>
          <w:lang w:val="en-US" w:eastAsia="zh-CN"/>
        </w:rPr>
        <w:t>13</w:t>
      </w:r>
      <w:r>
        <w:rPr>
          <w:rFonts w:hint="eastAsia" w:ascii="宋体" w:hAnsi="宋体" w:eastAsia="宋体" w:cs="宋体"/>
          <w:b/>
          <w:sz w:val="24"/>
          <w:szCs w:val="24"/>
        </w:rPr>
        <w:t>日起至2021年08月</w:t>
      </w:r>
      <w:r>
        <w:rPr>
          <w:rFonts w:hint="eastAsia" w:ascii="宋体" w:hAnsi="宋体" w:eastAsia="宋体" w:cs="宋体"/>
          <w:b/>
          <w:sz w:val="24"/>
          <w:szCs w:val="24"/>
          <w:lang w:val="en-US" w:eastAsia="zh-CN"/>
        </w:rPr>
        <w:t>20</w:t>
      </w:r>
      <w:r>
        <w:rPr>
          <w:rFonts w:hint="eastAsia" w:ascii="宋体" w:hAnsi="宋体" w:eastAsia="宋体" w:cs="宋体"/>
          <w:b/>
          <w:sz w:val="24"/>
          <w:szCs w:val="24"/>
        </w:rPr>
        <w:t>日</w:t>
      </w:r>
      <w:r>
        <w:rPr>
          <w:rFonts w:hint="eastAsia" w:ascii="宋体" w:hAnsi="宋体" w:eastAsia="宋体" w:cs="宋体"/>
          <w:sz w:val="24"/>
          <w:szCs w:val="24"/>
        </w:rPr>
        <w:t>止(星期六、日和节假日除外)每天上午9:00~11:30和下午1:00~4:30(北京时间) 前向上海市儿童医院信息部领取遴选文件并于截止时间前完成“供应商平台”接待登记，接待部门请选择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6"/>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w:t>
      </w:r>
      <w:r>
        <w:rPr>
          <w:rFonts w:hint="eastAsia" w:ascii="宋体" w:hAnsi="宋体" w:eastAsia="宋体" w:cs="宋体"/>
          <w:sz w:val="24"/>
          <w:szCs w:val="24"/>
          <w:lang w:val="en-US" w:eastAsia="zh-CN"/>
        </w:rPr>
        <w:t>2</w:t>
      </w:r>
      <w:r>
        <w:rPr>
          <w:rFonts w:hint="eastAsia" w:ascii="宋体" w:hAnsi="宋体" w:eastAsia="宋体" w:cs="宋体"/>
          <w:sz w:val="24"/>
          <w:szCs w:val="24"/>
        </w:rPr>
        <w:t>法人授权格式）</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p>
    <w:bookmarkEnd w:id="3"/>
    <w:bookmarkEnd w:id="4"/>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pPr>
        <w:pStyle w:val="16"/>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3"/>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6"/>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6"/>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6"/>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6"/>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3"/>
          <w:rFonts w:ascii="宋体"/>
          <w:szCs w:val="21"/>
        </w:rPr>
        <w:t>liyi@shchildren.com.cn</w:t>
      </w:r>
      <w:r>
        <w:rPr>
          <w:rFonts w:ascii="宋体"/>
          <w:szCs w:val="21"/>
        </w:rPr>
        <w:fldChar w:fldCharType="end"/>
      </w:r>
    </w:p>
    <w:p>
      <w:pPr>
        <w:pStyle w:val="16"/>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开标时间、地点</w:t>
      </w:r>
    </w:p>
    <w:p>
      <w:pPr>
        <w:pStyle w:val="16"/>
        <w:autoSpaceDE w:val="0"/>
        <w:autoSpaceDN w:val="0"/>
        <w:spacing w:line="360" w:lineRule="exact"/>
        <w:ind w:left="0" w:leftChars="0" w:firstLine="420" w:firstLineChars="0"/>
        <w:jc w:val="left"/>
        <w:rPr>
          <w:rFonts w:hint="eastAsia" w:ascii="宋体" w:hAnsi="宋体" w:eastAsia="宋体" w:cs="宋体"/>
          <w:sz w:val="24"/>
          <w:szCs w:val="24"/>
        </w:rPr>
      </w:pPr>
      <w:r>
        <w:rPr>
          <w:rFonts w:hint="eastAsia" w:ascii="宋体" w:hAnsi="宋体" w:eastAsia="宋体" w:cs="宋体"/>
          <w:sz w:val="24"/>
          <w:szCs w:val="24"/>
        </w:rPr>
        <w:t>根据疫情防控形势变化和医院疫情防控要求，取消近期遴选项目的现场开标，欲参与</w:t>
      </w:r>
      <w:r>
        <w:rPr>
          <w:rFonts w:hint="eastAsia" w:ascii="宋体" w:hAnsi="宋体" w:eastAsia="宋体" w:cs="宋体"/>
          <w:sz w:val="24"/>
          <w:szCs w:val="24"/>
          <w:lang w:val="en-US" w:eastAsia="zh-CN"/>
        </w:rPr>
        <w:tab/>
      </w:r>
      <w:r>
        <w:rPr>
          <w:rFonts w:hint="eastAsia" w:ascii="宋体" w:hAnsi="宋体" w:eastAsia="宋体" w:cs="宋体"/>
          <w:sz w:val="24"/>
          <w:szCs w:val="24"/>
        </w:rPr>
        <w:t>投标公司请务必点击 https://www.wjx.top/vj/wFZK6l9.aspx ，填写“参与上海市</w:t>
      </w:r>
      <w:r>
        <w:rPr>
          <w:rFonts w:hint="eastAsia" w:ascii="宋体" w:hAnsi="宋体" w:eastAsia="宋体" w:cs="宋体"/>
          <w:sz w:val="24"/>
          <w:szCs w:val="24"/>
          <w:lang w:val="en-US" w:eastAsia="zh-CN"/>
        </w:rPr>
        <w:tab/>
      </w:r>
      <w:r>
        <w:rPr>
          <w:rFonts w:hint="eastAsia" w:ascii="宋体" w:hAnsi="宋体" w:eastAsia="宋体" w:cs="宋体"/>
          <w:sz w:val="24"/>
          <w:szCs w:val="24"/>
        </w:rPr>
        <w:t>儿童医院遴选项目的投标公司疫情防控登记表”并将遴选响应文件按要求密封后，于</w:t>
      </w:r>
      <w:r>
        <w:rPr>
          <w:rFonts w:hint="eastAsia" w:ascii="宋体" w:hAnsi="宋体" w:eastAsia="宋体" w:cs="宋体"/>
          <w:sz w:val="24"/>
          <w:szCs w:val="24"/>
          <w:lang w:val="en-US" w:eastAsia="zh-CN"/>
        </w:rPr>
        <w:tab/>
      </w:r>
      <w:r>
        <w:rPr>
          <w:rFonts w:hint="eastAsia" w:ascii="宋体" w:hAnsi="宋体" w:eastAsia="宋体" w:cs="宋体"/>
          <w:sz w:val="24"/>
          <w:szCs w:val="24"/>
        </w:rPr>
        <w:t>截止日期（2021年08月</w:t>
      </w:r>
      <w:r>
        <w:rPr>
          <w:rFonts w:hint="eastAsia" w:ascii="宋体" w:hAnsi="宋体" w:eastAsia="宋体" w:cs="宋体"/>
          <w:sz w:val="24"/>
          <w:szCs w:val="24"/>
          <w:lang w:val="en-US" w:eastAsia="zh-CN"/>
        </w:rPr>
        <w:t>20</w:t>
      </w:r>
      <w:r>
        <w:rPr>
          <w:rFonts w:hint="eastAsia" w:ascii="宋体" w:hAnsi="宋体" w:eastAsia="宋体" w:cs="宋体"/>
          <w:sz w:val="24"/>
          <w:szCs w:val="24"/>
        </w:rPr>
        <w:t>日北京时间17:00）前，快递至：上海市儿童医院泸定路355</w:t>
      </w:r>
      <w:r>
        <w:rPr>
          <w:rFonts w:hint="eastAsia" w:ascii="宋体" w:hAnsi="宋体" w:eastAsia="宋体" w:cs="宋体"/>
          <w:sz w:val="24"/>
          <w:szCs w:val="24"/>
          <w:lang w:val="en-US" w:eastAsia="zh-CN"/>
        </w:rPr>
        <w:tab/>
      </w:r>
      <w:r>
        <w:rPr>
          <w:rFonts w:hint="eastAsia" w:ascii="宋体" w:hAnsi="宋体" w:eastAsia="宋体" w:cs="宋体"/>
          <w:sz w:val="24"/>
          <w:szCs w:val="24"/>
        </w:rPr>
        <w:t>号1楼 采购中心 联系人：李怡 13269250405</w:t>
      </w:r>
    </w:p>
    <w:p>
      <w:pPr>
        <w:pStyle w:val="16"/>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（为保证遴选响应文件在截止时间前到达，请务必提前寄出并及时跟踪物流信息。）</w:t>
      </w:r>
    </w:p>
    <w:p>
      <w:pPr>
        <w:pStyle w:val="16"/>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评审原则</w:t>
      </w:r>
    </w:p>
    <w:p>
      <w:pPr>
        <w:pStyle w:val="16"/>
        <w:numPr>
          <w:ilvl w:val="0"/>
          <w:numId w:val="3"/>
        </w:numPr>
        <w:autoSpaceDE w:val="0"/>
        <w:autoSpaceDN w:val="0"/>
        <w:spacing w:line="360" w:lineRule="exact"/>
        <w:ind w:left="42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要求的视为投标无效；“▲”号的为关键技术参数，对任一关键技术参数低于遴选文件要求，其技术得分为0分。</w:t>
      </w:r>
    </w:p>
    <w:p>
      <w:pPr>
        <w:pStyle w:val="16"/>
        <w:numPr>
          <w:ilvl w:val="0"/>
          <w:numId w:val="4"/>
        </w:numPr>
        <w:autoSpaceDE w:val="0"/>
        <w:autoSpaceDN w:val="0"/>
        <w:spacing w:line="360" w:lineRule="exact"/>
        <w:ind w:left="42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医院将根据质量和服务均能满足采购文件实质性响应要求综合评定的原则确定一家成交供应商。</w:t>
      </w:r>
    </w:p>
    <w:p>
      <w:pPr>
        <w:pStyle w:val="16"/>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5"/>
        </w:numPr>
        <w:tabs>
          <w:tab w:val="left" w:pos="900"/>
          <w:tab w:val="left" w:pos="1276"/>
          <w:tab w:val="left" w:pos="1985"/>
        </w:tabs>
        <w:spacing w:line="380" w:lineRule="exact"/>
        <w:ind w:left="420" w:leftChars="0" w:firstLine="0" w:firstLineChars="0"/>
        <w:rPr>
          <w:rFonts w:hint="eastAsia" w:ascii="宋体" w:hAnsi="宋体" w:cs="宋体"/>
          <w:sz w:val="24"/>
          <w:lang w:eastAsia="zh-CN"/>
        </w:rPr>
      </w:pPr>
      <w:r>
        <w:rPr>
          <w:rFonts w:hint="eastAsia" w:ascii="宋体" w:hAnsi="宋体" w:cs="宋体"/>
          <w:sz w:val="24"/>
        </w:rPr>
        <w:t>双方签订合同后的30个工作日内，甲方收到乙方开具的发票，向乙方支付合同总价的30％</w:t>
      </w:r>
      <w:r>
        <w:rPr>
          <w:rFonts w:hint="eastAsia" w:ascii="宋体" w:hAnsi="宋体" w:cs="宋体"/>
          <w:sz w:val="24"/>
          <w:lang w:eastAsia="zh-CN"/>
        </w:rPr>
        <w:t>。</w:t>
      </w:r>
    </w:p>
    <w:p>
      <w:pPr>
        <w:widowControl/>
        <w:numPr>
          <w:ilvl w:val="0"/>
          <w:numId w:val="5"/>
        </w:numPr>
        <w:tabs>
          <w:tab w:val="left" w:pos="900"/>
          <w:tab w:val="left" w:pos="1276"/>
          <w:tab w:val="left" w:pos="1985"/>
        </w:tabs>
        <w:spacing w:line="380" w:lineRule="exact"/>
        <w:ind w:left="420" w:leftChars="0" w:firstLine="0" w:firstLineChars="0"/>
        <w:rPr>
          <w:rFonts w:hint="eastAsia" w:ascii="宋体" w:hAnsi="宋体" w:eastAsia="宋体" w:cs="宋体"/>
          <w:sz w:val="24"/>
          <w:szCs w:val="24"/>
        </w:rPr>
      </w:pPr>
      <w:r>
        <w:rPr>
          <w:rFonts w:hint="eastAsia" w:ascii="宋体" w:hAnsi="宋体" w:eastAsia="宋体" w:cs="宋体"/>
          <w:sz w:val="24"/>
          <w:szCs w:val="24"/>
        </w:rPr>
        <w:t>设备到货后双方在完成软件验收后的30个工作日内，甲方收到乙方开具的发票，甲方向乙方支付合同总价剩余的60％。</w:t>
      </w:r>
    </w:p>
    <w:p>
      <w:pPr>
        <w:widowControl/>
        <w:numPr>
          <w:ilvl w:val="0"/>
          <w:numId w:val="5"/>
        </w:numPr>
        <w:tabs>
          <w:tab w:val="left" w:pos="900"/>
          <w:tab w:val="left" w:pos="1276"/>
          <w:tab w:val="left" w:pos="1985"/>
        </w:tabs>
        <w:spacing w:line="380" w:lineRule="exact"/>
        <w:ind w:left="420" w:leftChars="0" w:firstLine="0" w:firstLineChars="0"/>
        <w:rPr>
          <w:rFonts w:hint="eastAsia" w:ascii="宋体" w:hAnsi="宋体" w:eastAsia="宋体" w:cs="宋体"/>
          <w:sz w:val="24"/>
          <w:szCs w:val="24"/>
        </w:rPr>
      </w:pPr>
      <w:r>
        <w:rPr>
          <w:rFonts w:hint="eastAsia" w:ascii="宋体" w:hAnsi="宋体" w:eastAsia="宋体" w:cs="宋体"/>
          <w:sz w:val="24"/>
          <w:szCs w:val="24"/>
        </w:rPr>
        <w:t>项目验收合格后，甲方收到乙方出具的正式、合法、有效等额发票及总金额10%的银行保函作为质保金后三十个工作日，支付乙方合同总金额的10%款项。</w:t>
      </w: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6"/>
        <w:autoSpaceDE w:val="0"/>
        <w:autoSpaceDN w:val="0"/>
        <w:spacing w:line="360" w:lineRule="exact"/>
        <w:ind w:firstLine="0"/>
        <w:jc w:val="left"/>
        <w:rPr>
          <w:rFonts w:hint="eastAsia" w:ascii="宋体" w:hAnsi="宋体" w:eastAsia="宋体" w:cs="宋体"/>
          <w:sz w:val="24"/>
          <w:szCs w:val="24"/>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numPr>
          <w:ilvl w:val="0"/>
          <w:numId w:val="6"/>
        </w:numPr>
        <w:rPr>
          <w:rFonts w:hint="eastAsia" w:ascii="宋体" w:hAnsi="宋体" w:eastAsia="宋体" w:cs="宋体"/>
        </w:rPr>
      </w:pPr>
      <w:r>
        <w:rPr>
          <w:rFonts w:hint="eastAsia" w:ascii="宋体" w:hAnsi="宋体" w:eastAsia="宋体" w:cs="宋体"/>
        </w:rPr>
        <w:t>货物需求一览表及技术规格</w:t>
      </w: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spacing w:line="360" w:lineRule="auto"/>
        <w:jc w:val="center"/>
        <w:rPr>
          <w:rFonts w:ascii="宋体" w:hAnsi="宋体" w:eastAsia="宋体"/>
          <w:sz w:val="32"/>
          <w:szCs w:val="32"/>
        </w:rPr>
      </w:pPr>
      <w:r>
        <w:rPr>
          <w:rFonts w:hint="eastAsia" w:ascii="宋体" w:hAnsi="宋体" w:cs="宋体"/>
          <w:sz w:val="24"/>
        </w:rPr>
        <w:br w:type="page"/>
      </w:r>
      <w:r>
        <w:rPr>
          <w:rFonts w:hint="eastAsia" w:ascii="宋体" w:hAnsi="宋体" w:cs="宋体"/>
          <w:b/>
          <w:sz w:val="24"/>
        </w:rPr>
        <w:t>技术参数与要求</w:t>
      </w:r>
    </w:p>
    <w:p>
      <w:pPr>
        <w:widowControl/>
        <w:numPr>
          <w:ilvl w:val="0"/>
          <w:numId w:val="7"/>
        </w:numPr>
        <w:spacing w:line="360" w:lineRule="auto"/>
        <w:jc w:val="left"/>
        <w:rPr>
          <w:rFonts w:ascii="宋体" w:hAnsi="宋体" w:eastAsia="宋体"/>
          <w:sz w:val="24"/>
          <w:szCs w:val="24"/>
        </w:rPr>
      </w:pPr>
      <w:r>
        <w:rPr>
          <w:rFonts w:hint="eastAsia" w:ascii="宋体" w:hAnsi="宋体" w:eastAsia="宋体"/>
          <w:b/>
          <w:sz w:val="24"/>
          <w:szCs w:val="24"/>
        </w:rPr>
        <w:t>项目名称</w:t>
      </w:r>
      <w:r>
        <w:rPr>
          <w:rFonts w:hint="eastAsia" w:ascii="宋体" w:hAnsi="宋体" w:eastAsia="宋体"/>
          <w:sz w:val="24"/>
          <w:szCs w:val="24"/>
        </w:rPr>
        <w:t>：上海市儿童医院冰箱温度巡检系统（老院检验科）</w:t>
      </w:r>
    </w:p>
    <w:p>
      <w:pPr>
        <w:widowControl/>
        <w:numPr>
          <w:ilvl w:val="0"/>
          <w:numId w:val="7"/>
        </w:numPr>
        <w:spacing w:line="360" w:lineRule="auto"/>
        <w:jc w:val="left"/>
        <w:rPr>
          <w:rFonts w:ascii="宋体" w:hAnsi="宋体" w:eastAsia="宋体"/>
          <w:sz w:val="24"/>
          <w:szCs w:val="24"/>
        </w:rPr>
      </w:pPr>
      <w:r>
        <w:rPr>
          <w:rFonts w:hint="eastAsia" w:ascii="宋体" w:hAnsi="宋体" w:eastAsia="宋体"/>
          <w:b/>
          <w:sz w:val="24"/>
          <w:szCs w:val="24"/>
        </w:rPr>
        <w:t>项目建设周期</w:t>
      </w:r>
      <w:r>
        <w:rPr>
          <w:rFonts w:hint="eastAsia" w:ascii="宋体" w:hAnsi="宋体" w:eastAsia="宋体"/>
          <w:sz w:val="24"/>
          <w:szCs w:val="24"/>
        </w:rPr>
        <w:t>：合同签订之日起12</w:t>
      </w:r>
      <w:r>
        <w:rPr>
          <w:rFonts w:hint="eastAsia" w:ascii="宋体" w:hAnsi="宋体"/>
          <w:sz w:val="24"/>
          <w:szCs w:val="24"/>
          <w:lang w:val="en-US" w:eastAsia="zh-CN"/>
        </w:rPr>
        <w:t>个</w:t>
      </w:r>
      <w:r>
        <w:rPr>
          <w:rFonts w:hint="eastAsia" w:ascii="宋体" w:hAnsi="宋体" w:eastAsia="宋体"/>
          <w:sz w:val="24"/>
          <w:szCs w:val="24"/>
        </w:rPr>
        <w:t>月</w:t>
      </w:r>
    </w:p>
    <w:p>
      <w:pPr>
        <w:widowControl/>
        <w:numPr>
          <w:ilvl w:val="0"/>
          <w:numId w:val="7"/>
        </w:numPr>
        <w:spacing w:line="360" w:lineRule="auto"/>
        <w:jc w:val="left"/>
        <w:rPr>
          <w:rFonts w:ascii="宋体" w:hAnsi="宋体" w:eastAsia="宋体"/>
          <w:sz w:val="24"/>
          <w:szCs w:val="24"/>
        </w:rPr>
      </w:pPr>
      <w:r>
        <w:rPr>
          <w:rFonts w:hint="eastAsia" w:ascii="宋体" w:hAnsi="宋体" w:eastAsia="宋体"/>
          <w:b/>
          <w:sz w:val="24"/>
          <w:szCs w:val="24"/>
        </w:rPr>
        <w:t>项目实施地点</w:t>
      </w:r>
      <w:r>
        <w:rPr>
          <w:rFonts w:hint="eastAsia" w:ascii="宋体" w:hAnsi="宋体" w:eastAsia="宋体"/>
          <w:sz w:val="24"/>
          <w:szCs w:val="24"/>
        </w:rPr>
        <w:t>：上海市儿童医院</w:t>
      </w:r>
    </w:p>
    <w:p>
      <w:pPr>
        <w:widowControl/>
        <w:numPr>
          <w:ilvl w:val="0"/>
          <w:numId w:val="0"/>
        </w:numPr>
        <w:spacing w:line="360" w:lineRule="auto"/>
        <w:ind w:leftChars="0"/>
        <w:jc w:val="left"/>
        <w:rPr>
          <w:rFonts w:hint="eastAsia" w:ascii="宋体" w:hAnsi="宋体" w:eastAsia="宋体"/>
          <w:b/>
          <w:sz w:val="24"/>
          <w:szCs w:val="24"/>
        </w:rPr>
      </w:pPr>
      <w:r>
        <w:rPr>
          <w:rFonts w:hint="eastAsia" w:ascii="宋体" w:hAnsi="宋体" w:eastAsia="宋体"/>
          <w:b/>
          <w:sz w:val="24"/>
          <w:szCs w:val="24"/>
          <w:lang w:val="en-US" w:eastAsia="zh-CN"/>
        </w:rPr>
        <w:t>四、</w:t>
      </w:r>
      <w:r>
        <w:rPr>
          <w:rFonts w:hint="eastAsia" w:ascii="宋体" w:hAnsi="宋体" w:eastAsia="宋体"/>
          <w:b/>
          <w:sz w:val="24"/>
          <w:szCs w:val="24"/>
        </w:rPr>
        <w:t>技术参数</w:t>
      </w:r>
    </w:p>
    <w:p>
      <w:pPr>
        <w:spacing w:line="360" w:lineRule="auto"/>
        <w:rPr>
          <w:rFonts w:ascii="宋体" w:hAnsi="宋体" w:eastAsia="宋体"/>
          <w:sz w:val="24"/>
          <w:szCs w:val="24"/>
        </w:rPr>
      </w:pPr>
      <w:r>
        <w:rPr>
          <w:rFonts w:hint="eastAsia" w:ascii="宋体" w:hAnsi="宋体" w:eastAsia="宋体"/>
          <w:sz w:val="24"/>
          <w:szCs w:val="24"/>
        </w:rPr>
        <w:t>硬件参数</w:t>
      </w:r>
    </w:p>
    <w:p>
      <w:pPr>
        <w:pStyle w:val="19"/>
        <w:numPr>
          <w:ilvl w:val="0"/>
          <w:numId w:val="8"/>
        </w:numPr>
        <w:spacing w:line="360" w:lineRule="auto"/>
        <w:ind w:left="0" w:leftChars="0" w:firstLine="0" w:firstLineChars="0"/>
        <w:rPr>
          <w:rFonts w:ascii="宋体" w:hAnsi="宋体" w:eastAsia="宋体"/>
          <w:sz w:val="24"/>
          <w:szCs w:val="24"/>
        </w:rPr>
      </w:pPr>
      <w:r>
        <w:rPr>
          <w:rFonts w:ascii="宋体" w:hAnsi="宋体" w:eastAsia="宋体"/>
          <w:sz w:val="24"/>
          <w:szCs w:val="24"/>
        </w:rPr>
        <w:t>温度采集模块</w:t>
      </w:r>
      <w:r>
        <w:rPr>
          <w:rFonts w:hint="eastAsia" w:ascii="宋体" w:hAnsi="宋体" w:eastAsia="宋体"/>
          <w:sz w:val="24"/>
          <w:szCs w:val="24"/>
        </w:rPr>
        <w:t xml:space="preserve"> 63个</w:t>
      </w:r>
    </w:p>
    <w:p>
      <w:pPr>
        <w:pStyle w:val="19"/>
        <w:numPr>
          <w:ilvl w:val="1"/>
          <w:numId w:val="8"/>
        </w:numPr>
        <w:spacing w:line="360" w:lineRule="auto"/>
        <w:ind w:left="795" w:leftChars="0" w:firstLineChars="0"/>
        <w:rPr>
          <w:rFonts w:ascii="宋体" w:hAnsi="宋体" w:eastAsia="宋体"/>
          <w:sz w:val="24"/>
          <w:szCs w:val="24"/>
        </w:rPr>
      </w:pPr>
      <w:r>
        <w:rPr>
          <w:rFonts w:ascii="宋体" w:hAnsi="宋体" w:eastAsia="宋体"/>
          <w:sz w:val="24"/>
          <w:szCs w:val="24"/>
        </w:rPr>
        <w:t>电源：220V/50HZ，直流输出模块供电,同时所有采集模块应有后备电池，能够在发生断电事故时保证采集模块仍然正常运行≥5小时，确保服务器能够检测到温度超限并及时报警。</w:t>
      </w:r>
    </w:p>
    <w:p>
      <w:pPr>
        <w:pStyle w:val="19"/>
        <w:numPr>
          <w:ilvl w:val="1"/>
          <w:numId w:val="8"/>
        </w:numPr>
        <w:spacing w:line="360" w:lineRule="auto"/>
        <w:ind w:left="795" w:leftChars="0" w:firstLineChars="0"/>
        <w:rPr>
          <w:rFonts w:ascii="宋体" w:hAnsi="宋体" w:eastAsia="宋体"/>
          <w:sz w:val="24"/>
          <w:szCs w:val="24"/>
        </w:rPr>
      </w:pPr>
      <w:r>
        <w:rPr>
          <w:rFonts w:ascii="宋体" w:hAnsi="宋体" w:eastAsia="宋体"/>
          <w:sz w:val="24"/>
          <w:szCs w:val="24"/>
        </w:rPr>
        <w:t>现场温度采集模块配备LCD液晶屏幕显示，能够显示实时温度、电池电量等信息，方便操作人员更好的维护系统监控系统运转。</w:t>
      </w:r>
    </w:p>
    <w:p>
      <w:pPr>
        <w:pStyle w:val="19"/>
        <w:numPr>
          <w:ilvl w:val="1"/>
          <w:numId w:val="8"/>
        </w:numPr>
        <w:spacing w:line="360" w:lineRule="auto"/>
        <w:ind w:left="795" w:leftChars="0" w:firstLineChars="0"/>
        <w:rPr>
          <w:rFonts w:ascii="宋体" w:hAnsi="宋体" w:eastAsia="宋体"/>
          <w:sz w:val="24"/>
          <w:szCs w:val="24"/>
        </w:rPr>
      </w:pPr>
      <w:r>
        <w:rPr>
          <w:rFonts w:ascii="宋体" w:hAnsi="宋体" w:eastAsia="宋体"/>
          <w:sz w:val="24"/>
          <w:szCs w:val="24"/>
        </w:rPr>
        <w:t>ZIGBEE无线通讯模式，通讯频率2.4GHZ</w:t>
      </w:r>
    </w:p>
    <w:p>
      <w:pPr>
        <w:pStyle w:val="19"/>
        <w:numPr>
          <w:ilvl w:val="1"/>
          <w:numId w:val="8"/>
        </w:numPr>
        <w:spacing w:line="360" w:lineRule="auto"/>
        <w:ind w:left="795" w:leftChars="0" w:firstLineChars="0"/>
        <w:rPr>
          <w:rFonts w:ascii="宋体" w:hAnsi="宋体" w:eastAsia="宋体"/>
          <w:sz w:val="24"/>
          <w:szCs w:val="24"/>
        </w:rPr>
      </w:pPr>
      <w:r>
        <w:rPr>
          <w:rFonts w:hint="eastAsia" w:ascii="宋体" w:hAnsi="宋体" w:eastAsia="宋体"/>
          <w:sz w:val="24"/>
          <w:szCs w:val="24"/>
        </w:rPr>
        <w:t>温度采集模块采集范围：</w:t>
      </w:r>
      <w:r>
        <w:rPr>
          <w:rFonts w:ascii="宋体" w:hAnsi="宋体" w:eastAsia="宋体"/>
          <w:sz w:val="24"/>
          <w:szCs w:val="24"/>
        </w:rPr>
        <w:t>-200℃～+150℃，</w:t>
      </w:r>
    </w:p>
    <w:p>
      <w:pPr>
        <w:pStyle w:val="19"/>
        <w:spacing w:line="360" w:lineRule="auto"/>
        <w:ind w:left="735" w:firstLine="0" w:firstLineChars="0"/>
        <w:rPr>
          <w:rFonts w:ascii="宋体" w:hAnsi="宋体" w:eastAsia="宋体"/>
          <w:sz w:val="24"/>
          <w:szCs w:val="24"/>
        </w:rPr>
      </w:pPr>
      <w:r>
        <w:rPr>
          <w:rFonts w:hint="eastAsia" w:ascii="宋体" w:hAnsi="宋体" w:eastAsia="宋体"/>
          <w:sz w:val="24"/>
          <w:szCs w:val="24"/>
        </w:rPr>
        <w:t>测量精度：</w:t>
      </w:r>
      <w:r>
        <w:rPr>
          <w:rFonts w:ascii="宋体" w:hAnsi="宋体" w:eastAsia="宋体"/>
          <w:sz w:val="24"/>
          <w:szCs w:val="24"/>
        </w:rPr>
        <w:t>-40℃～+85℃，±0.5℃；其它±1℃</w:t>
      </w:r>
    </w:p>
    <w:p>
      <w:pPr>
        <w:pStyle w:val="19"/>
        <w:numPr>
          <w:ilvl w:val="0"/>
          <w:numId w:val="8"/>
        </w:numPr>
        <w:spacing w:line="360" w:lineRule="auto"/>
        <w:ind w:left="0" w:leftChars="0" w:firstLine="0" w:firstLineChars="0"/>
        <w:rPr>
          <w:rFonts w:ascii="宋体" w:hAnsi="宋体" w:eastAsia="宋体"/>
          <w:sz w:val="24"/>
          <w:szCs w:val="24"/>
        </w:rPr>
      </w:pPr>
      <w:r>
        <w:rPr>
          <w:rFonts w:hint="eastAsia" w:ascii="宋体" w:hAnsi="宋体" w:eastAsia="宋体"/>
          <w:sz w:val="24"/>
          <w:szCs w:val="24"/>
        </w:rPr>
        <w:t>无线中继模块 7个</w:t>
      </w:r>
    </w:p>
    <w:p>
      <w:pPr>
        <w:pStyle w:val="19"/>
        <w:numPr>
          <w:ilvl w:val="1"/>
          <w:numId w:val="8"/>
        </w:numPr>
        <w:spacing w:line="360" w:lineRule="auto"/>
        <w:ind w:left="795" w:leftChars="0" w:firstLineChars="0"/>
        <w:rPr>
          <w:rFonts w:ascii="宋体" w:hAnsi="宋体" w:eastAsia="宋体"/>
          <w:sz w:val="24"/>
          <w:szCs w:val="24"/>
        </w:rPr>
      </w:pPr>
      <w:r>
        <w:rPr>
          <w:rFonts w:ascii="宋体" w:hAnsi="宋体" w:eastAsia="宋体"/>
          <w:sz w:val="24"/>
          <w:szCs w:val="24"/>
        </w:rPr>
        <w:t>在电源：220V/50HZ，直流输出模块供电,同时模块具备后备电池，能够在发生断电事故时保证采集模块仍然正常运行≥48小时。</w:t>
      </w:r>
    </w:p>
    <w:p>
      <w:pPr>
        <w:pStyle w:val="19"/>
        <w:numPr>
          <w:ilvl w:val="1"/>
          <w:numId w:val="8"/>
        </w:numPr>
        <w:spacing w:line="360" w:lineRule="auto"/>
        <w:ind w:left="795" w:leftChars="0" w:firstLineChars="0"/>
        <w:rPr>
          <w:rFonts w:ascii="宋体" w:hAnsi="宋体" w:eastAsia="宋体"/>
          <w:sz w:val="24"/>
          <w:szCs w:val="24"/>
        </w:rPr>
      </w:pPr>
      <w:r>
        <w:rPr>
          <w:rFonts w:ascii="宋体" w:hAnsi="宋体" w:eastAsia="宋体"/>
          <w:sz w:val="24"/>
          <w:szCs w:val="24"/>
        </w:rPr>
        <w:t>ZIGBEE无线通讯模式，通讯频率2.4GHZ</w:t>
      </w:r>
    </w:p>
    <w:p>
      <w:pPr>
        <w:pStyle w:val="19"/>
        <w:numPr>
          <w:ilvl w:val="1"/>
          <w:numId w:val="8"/>
        </w:numPr>
        <w:spacing w:line="360" w:lineRule="auto"/>
        <w:ind w:left="795" w:leftChars="0" w:firstLineChars="0"/>
        <w:rPr>
          <w:rFonts w:ascii="宋体" w:hAnsi="宋体" w:eastAsia="宋体"/>
          <w:sz w:val="24"/>
          <w:szCs w:val="24"/>
        </w:rPr>
      </w:pPr>
      <w:r>
        <w:rPr>
          <w:rFonts w:hint="eastAsia" w:ascii="宋体" w:hAnsi="宋体" w:eastAsia="宋体"/>
          <w:sz w:val="24"/>
          <w:szCs w:val="24"/>
        </w:rPr>
        <w:t>数据通过以太网上传服务器</w:t>
      </w:r>
    </w:p>
    <w:p>
      <w:pPr>
        <w:pStyle w:val="19"/>
        <w:numPr>
          <w:ilvl w:val="1"/>
          <w:numId w:val="8"/>
        </w:numPr>
        <w:spacing w:line="360" w:lineRule="auto"/>
        <w:ind w:left="795" w:leftChars="0" w:firstLineChars="0"/>
        <w:rPr>
          <w:rFonts w:ascii="宋体" w:hAnsi="宋体" w:eastAsia="宋体"/>
          <w:sz w:val="24"/>
          <w:szCs w:val="24"/>
        </w:rPr>
      </w:pPr>
      <w:r>
        <w:rPr>
          <w:rFonts w:hint="eastAsia" w:ascii="宋体" w:hAnsi="宋体" w:eastAsia="宋体"/>
          <w:sz w:val="24"/>
          <w:szCs w:val="24"/>
        </w:rPr>
        <w:t>可接入内网服务器也可接入外网服务器</w:t>
      </w:r>
    </w:p>
    <w:p>
      <w:pPr>
        <w:spacing w:line="360" w:lineRule="auto"/>
        <w:rPr>
          <w:rFonts w:ascii="宋体" w:hAnsi="宋体" w:eastAsia="宋体"/>
          <w:sz w:val="24"/>
          <w:szCs w:val="24"/>
        </w:rPr>
      </w:pPr>
      <w:r>
        <w:rPr>
          <w:rFonts w:hint="eastAsia" w:ascii="宋体" w:hAnsi="宋体" w:eastAsia="宋体"/>
          <w:sz w:val="24"/>
          <w:szCs w:val="24"/>
        </w:rPr>
        <w:t>软件参数</w:t>
      </w:r>
    </w:p>
    <w:p>
      <w:pPr>
        <w:numPr>
          <w:ilvl w:val="0"/>
          <w:numId w:val="9"/>
        </w:numPr>
        <w:spacing w:line="360" w:lineRule="auto"/>
        <w:ind w:left="-420" w:leftChars="0" w:firstLine="420" w:firstLineChars="0"/>
        <w:rPr>
          <w:rFonts w:ascii="宋体" w:hAnsi="宋体" w:eastAsia="宋体"/>
          <w:sz w:val="24"/>
          <w:szCs w:val="24"/>
        </w:rPr>
      </w:pPr>
      <w:r>
        <w:rPr>
          <w:rFonts w:hint="eastAsia" w:ascii="宋体" w:hAnsi="宋体" w:eastAsia="宋体"/>
          <w:sz w:val="24"/>
          <w:szCs w:val="24"/>
        </w:rPr>
        <w:t>技术框架要求</w:t>
      </w:r>
    </w:p>
    <w:p>
      <w:pPr>
        <w:pStyle w:val="19"/>
        <w:numPr>
          <w:ilvl w:val="0"/>
          <w:numId w:val="10"/>
        </w:numPr>
        <w:spacing w:line="360" w:lineRule="auto"/>
        <w:ind w:firstLineChars="0"/>
        <w:rPr>
          <w:rFonts w:ascii="宋体" w:hAnsi="宋体" w:eastAsia="宋体"/>
          <w:sz w:val="24"/>
          <w:szCs w:val="24"/>
        </w:rPr>
      </w:pPr>
      <w:r>
        <w:rPr>
          <w:rFonts w:hint="eastAsia" w:ascii="宋体" w:hAnsi="宋体" w:eastAsia="宋体"/>
          <w:sz w:val="24"/>
          <w:szCs w:val="24"/>
        </w:rPr>
        <w:t>软件平台</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sz w:val="24"/>
          <w:szCs w:val="24"/>
        </w:rPr>
        <w:t>要求能够支持主流操作系统环境，包括</w:t>
      </w:r>
      <w:r>
        <w:rPr>
          <w:rFonts w:ascii="宋体" w:hAnsi="宋体" w:eastAsia="宋体"/>
          <w:sz w:val="24"/>
          <w:szCs w:val="24"/>
        </w:rPr>
        <w:t xml:space="preserve">windows server 2008、 windows server </w:t>
      </w:r>
      <w:r>
        <w:rPr>
          <w:rFonts w:hint="eastAsia" w:ascii="宋体" w:hAnsi="宋体" w:eastAsia="宋体" w:cs="Times New Roman"/>
          <w:kern w:val="2"/>
          <w:sz w:val="24"/>
          <w:szCs w:val="24"/>
          <w:lang w:val="en-US" w:eastAsia="zh-CN" w:bidi="ar-SA"/>
        </w:rPr>
        <w:t>2012等主流操作系统</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系统支持GIS展示，并能够逐级钻取展开到最小层级。</w:t>
      </w:r>
    </w:p>
    <w:p>
      <w:pPr>
        <w:pStyle w:val="19"/>
        <w:numPr>
          <w:ilvl w:val="0"/>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数据库：数据库要求支持Sql Server Express\2005\2008\2012</w:t>
      </w:r>
    </w:p>
    <w:p>
      <w:pPr>
        <w:pStyle w:val="19"/>
        <w:numPr>
          <w:ilvl w:val="0"/>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系统架构：</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要求采用B\S或C\S架构进行软件部署。使用至少三层以上的结构。</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软件架构要求具备开放性，提供完整规范的开发接口，能够满足主流平台和跨平台快速应用开发的需求</w:t>
      </w:r>
    </w:p>
    <w:p>
      <w:pPr>
        <w:pStyle w:val="19"/>
        <w:numPr>
          <w:ilvl w:val="0"/>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系统性能要求</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缓存处理：要求框架对常用的资源文件、数据进行缓存处理，以提高系统性能</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要求系统支持最大10000台冷链监控设备。</w:t>
      </w:r>
    </w:p>
    <w:p>
      <w:pPr>
        <w:pStyle w:val="19"/>
        <w:numPr>
          <w:ilvl w:val="1"/>
          <w:numId w:val="10"/>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要求系统支持分布式传输结构，对大数量的设备，能够采用分布式结构提高总体系统处理能力。</w:t>
      </w:r>
    </w:p>
    <w:p>
      <w:pPr>
        <w:numPr>
          <w:ilvl w:val="0"/>
          <w:numId w:val="0"/>
        </w:numPr>
        <w:spacing w:line="360" w:lineRule="auto"/>
        <w:ind w:left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（二）</w:t>
      </w:r>
      <w:r>
        <w:rPr>
          <w:rFonts w:hint="eastAsia" w:ascii="宋体" w:hAnsi="宋体" w:eastAsia="宋体" w:cs="Times New Roman"/>
          <w:kern w:val="2"/>
          <w:sz w:val="24"/>
          <w:szCs w:val="24"/>
          <w:lang w:val="en-US" w:eastAsia="zh-CN" w:bidi="ar-SA"/>
        </w:rPr>
        <w:t>系统功能要求</w:t>
      </w:r>
    </w:p>
    <w:p>
      <w:pPr>
        <w:pStyle w:val="19"/>
        <w:numPr>
          <w:ilvl w:val="0"/>
          <w:numId w:val="11"/>
        </w:numPr>
        <w:spacing w:line="360" w:lineRule="auto"/>
        <w:ind w:left="360" w:leftChars="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业务功能</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设备管理</w:t>
      </w:r>
    </w:p>
    <w:p>
      <w:pPr>
        <w:pStyle w:val="19"/>
        <w:numPr>
          <w:ilvl w:val="2"/>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冷藏设备：支持设备系统化管理。包含设备隶属关系，设备权限，设备类型，设备编号，设备名称等信息的集中管理。能够实时展示设备当前温湿度情况和运行状态。可维护和查询设备的维修记录和报废记录，做到整个设备使用周期的全程监控与管理。</w:t>
      </w:r>
    </w:p>
    <w:p>
      <w:pPr>
        <w:pStyle w:val="19"/>
        <w:numPr>
          <w:ilvl w:val="2"/>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集设备：采集器采用单头或多头传感器，可同时监控多个位置。采集信息传输，根据具体设备情况，可支持直连数据传递服务，也支持中继器集中传递服务。采集周期根据设备设定，可控制间歇长短。对所有采集器反馈数据进行存档，可反向查询，产出流线型采集报告。</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支持报警项：数据异常报警、采集设备异常报警、断电报警、网络异常报警、短信设备异常报警、服务器异常报警；</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报警方式：支持报警策略定制</w:t>
      </w:r>
    </w:p>
    <w:p>
      <w:pPr>
        <w:pStyle w:val="19"/>
        <w:spacing w:line="360" w:lineRule="auto"/>
        <w:ind w:left="735"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要求支持短信报警、电话报警、微信报警、邮件报警、系统弹出报警、系统声音报警等多种报警方式。</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报警策略管理：支持逐级报警，可自定义设置; 可设置允许报警时间段; 可设置延时报警以及延时时长</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数据报告管理：可输出针对报警原因的分类统计报告、设备可靠性进行统计报告、品牌性能统计报告、设备运行趋势统计报告，所有数据报告能够导出并可自动邮件推送。</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大屏展示：大屏滚动展示当前的设备即时状态信息，展示信息可扩展。</w:t>
      </w:r>
    </w:p>
    <w:p>
      <w:pPr>
        <w:pStyle w:val="19"/>
        <w:numPr>
          <w:ilvl w:val="0"/>
          <w:numId w:val="11"/>
        </w:numPr>
        <w:spacing w:line="360" w:lineRule="auto"/>
        <w:ind w:left="360" w:leftChars="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系统功能</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权限控制：可按照部门，角色，人员管理部门，等多个维度，对登录人进行数据权限控制和操作权限控制。数据权限，限定登录人能够控制和访问的具体部门设备数据。操作权限控制，限定登录人的新增、修改、删除等功能的使用。</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组织架构：可设定树形管理结构的部门组织。将管理结构细化出来。为进一步的权限管理提供基础数据支持。</w:t>
      </w:r>
    </w:p>
    <w:p>
      <w:pPr>
        <w:pStyle w:val="19"/>
        <w:numPr>
          <w:ilvl w:val="1"/>
          <w:numId w:val="11"/>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用户管理：登录账户管理，账户基本信息联系方式等，强制密码策略，启用停用管理。</w:t>
      </w:r>
    </w:p>
    <w:p>
      <w:pPr>
        <w:spacing w:line="360" w:lineRule="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证书</w:t>
      </w:r>
    </w:p>
    <w:p>
      <w:pPr>
        <w:pStyle w:val="19"/>
        <w:numPr>
          <w:ilvl w:val="0"/>
          <w:numId w:val="12"/>
        </w:numPr>
        <w:spacing w:line="36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软件平台</w:t>
      </w:r>
    </w:p>
    <w:p>
      <w:pPr>
        <w:pStyle w:val="19"/>
        <w:spacing w:line="360" w:lineRule="auto"/>
        <w:ind w:left="36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1.1整套系统必须具备第三方评测机构出具的系统验收合格报告；软件具备国家版权局颁发的计算机软件著作权登记证书；</w:t>
      </w:r>
    </w:p>
    <w:p>
      <w:pPr>
        <w:pStyle w:val="19"/>
        <w:spacing w:line="360" w:lineRule="auto"/>
        <w:ind w:left="36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1.2 软件开发商需具备CMM三级资质</w:t>
      </w:r>
    </w:p>
    <w:p>
      <w:pPr>
        <w:pStyle w:val="19"/>
        <w:spacing w:line="360" w:lineRule="auto"/>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校准服务</w:t>
      </w:r>
    </w:p>
    <w:p>
      <w:pPr>
        <w:pStyle w:val="19"/>
        <w:spacing w:line="360" w:lineRule="auto"/>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1．每年定期对所有探头进行校准并出具符合计量要求的校准报告</w:t>
      </w:r>
    </w:p>
    <w:p>
      <w:pPr>
        <w:spacing w:line="360" w:lineRule="auto"/>
        <w:rPr>
          <w:rFonts w:hint="eastAsia" w:ascii="宋体" w:hAnsi="宋体" w:eastAsia="宋体" w:cs="Times New Roman"/>
          <w:kern w:val="2"/>
          <w:sz w:val="24"/>
          <w:szCs w:val="24"/>
          <w:lang w:val="en-US" w:eastAsia="zh-CN" w:bidi="ar-SA"/>
        </w:rPr>
      </w:pPr>
    </w:p>
    <w:p>
      <w:pPr>
        <w:ind w:firstLine="480"/>
        <w:rPr>
          <w:rFonts w:hint="eastAsia" w:ascii="宋体" w:hAnsi="宋体" w:eastAsia="宋体" w:cs="Times New Roman"/>
          <w:kern w:val="2"/>
          <w:sz w:val="24"/>
          <w:szCs w:val="24"/>
          <w:lang w:val="en-US" w:eastAsia="zh-CN" w:bidi="ar-SA"/>
        </w:rPr>
      </w:pPr>
    </w:p>
    <w:p>
      <w:pPr>
        <w:pStyle w:val="4"/>
        <w:keepLines w:val="0"/>
        <w:widowControl/>
        <w:tabs>
          <w:tab w:val="left" w:pos="426"/>
        </w:tabs>
        <w:overflowPunct w:val="0"/>
        <w:autoSpaceDE w:val="0"/>
        <w:autoSpaceDN w:val="0"/>
        <w:adjustRightInd w:val="0"/>
        <w:spacing w:before="0" w:after="0" w:line="240" w:lineRule="auto"/>
        <w:jc w:val="left"/>
        <w:textAlignment w:val="baseline"/>
        <w:rPr>
          <w:rFonts w:ascii="宋体" w:hAnsi="宋体"/>
          <w:sz w:val="24"/>
          <w:szCs w:val="24"/>
        </w:rPr>
      </w:pPr>
      <w:r>
        <w:rPr>
          <w:rFonts w:hint="eastAsia" w:ascii="宋体" w:hAnsi="宋体" w:eastAsia="宋体" w:cs="Times New Roman"/>
          <w:kern w:val="2"/>
          <w:sz w:val="24"/>
          <w:szCs w:val="24"/>
          <w:lang w:val="en-US" w:eastAsia="zh-CN" w:bidi="ar-SA"/>
        </w:rPr>
        <w:t>五、实施、验收与售后服务</w:t>
      </w:r>
      <w:r>
        <w:rPr>
          <w:rFonts w:hint="eastAsia" w:ascii="宋体" w:hAnsi="宋体"/>
          <w:sz w:val="24"/>
          <w:szCs w:val="24"/>
        </w:rPr>
        <w:t>要求</w:t>
      </w:r>
    </w:p>
    <w:p>
      <w:pPr>
        <w:pStyle w:val="17"/>
        <w:numPr>
          <w:ilvl w:val="0"/>
          <w:numId w:val="13"/>
        </w:numPr>
        <w:spacing w:line="360" w:lineRule="auto"/>
        <w:ind w:firstLineChars="0"/>
        <w:rPr>
          <w:rFonts w:ascii="宋体" w:hAnsi="宋体"/>
          <w:sz w:val="24"/>
          <w:szCs w:val="24"/>
        </w:rPr>
      </w:pPr>
      <w:r>
        <w:rPr>
          <w:rFonts w:hint="eastAsia" w:ascii="宋体" w:hAnsi="宋体"/>
          <w:sz w:val="24"/>
          <w:szCs w:val="24"/>
        </w:rPr>
        <w:t>总体要求</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投标人必须提供项目实施计划，经用户方同意后，严格执行。如果遇到问题，由项目组提出项目变更说明，经医院和系统提供商确定后，修改计划。</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投标人应负责在项目验收时将系统的全部有关技术文件、资料、及安装、测试、验收报告等文档汇集成册交付用户方。</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17"/>
        <w:numPr>
          <w:ilvl w:val="0"/>
          <w:numId w:val="13"/>
        </w:numPr>
        <w:spacing w:line="360" w:lineRule="auto"/>
        <w:ind w:firstLineChars="0"/>
        <w:rPr>
          <w:rFonts w:ascii="宋体" w:hAnsi="宋体"/>
          <w:sz w:val="24"/>
          <w:szCs w:val="24"/>
        </w:rPr>
      </w:pP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w:t>
      </w:r>
      <w:r>
        <w:rPr>
          <w:rFonts w:hint="eastAsia" w:ascii="宋体" w:hAnsi="宋体"/>
          <w:b/>
          <w:color w:val="00B0F0"/>
          <w:sz w:val="24"/>
          <w:szCs w:val="24"/>
        </w:rPr>
        <w:t>、</w:t>
      </w:r>
      <w:r>
        <w:rPr>
          <w:rFonts w:hint="eastAsia" w:ascii="宋体" w:hAnsi="宋体"/>
          <w:sz w:val="24"/>
          <w:szCs w:val="24"/>
        </w:rPr>
        <w:t>非信息科的医院管理人员、操作员。系统管理人员培训内容为系统中涉及的相关技术内容；管理人员培训内容为系统流程和相关管理思想；操作员为系统的操作培训。</w:t>
      </w:r>
    </w:p>
    <w:p>
      <w:pPr>
        <w:pStyle w:val="17"/>
        <w:numPr>
          <w:ilvl w:val="0"/>
          <w:numId w:val="13"/>
        </w:numPr>
        <w:spacing w:line="360" w:lineRule="auto"/>
        <w:ind w:firstLineChars="0"/>
        <w:rPr>
          <w:rFonts w:ascii="宋体" w:hAnsi="宋体"/>
          <w:sz w:val="24"/>
          <w:szCs w:val="24"/>
        </w:rPr>
      </w:pPr>
      <w:r>
        <w:rPr>
          <w:rFonts w:hint="eastAsia" w:ascii="宋体" w:hAnsi="宋体"/>
          <w:sz w:val="24"/>
          <w:szCs w:val="24"/>
        </w:rPr>
        <w:t>对实施人员的要求</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系统在通过验收前必须现场留驻足够的实施人员。</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医院有权根据实施情况要求更换项目经理和实施人员。</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对投标人项目经理等级基本要求：要求投标人针对本项目成立项目小组，在投标文件中提供书面名单，人员一旦得到医院确认，无特殊理由不得随意变动，其中项目经理必须具有项目管理资质并有三级甲等综合性医院的信息系统实施经验，且项目经理未得到医院同意的情况下不得随意更换。</w:t>
      </w:r>
    </w:p>
    <w:p>
      <w:pPr>
        <w:pStyle w:val="17"/>
        <w:numPr>
          <w:ilvl w:val="0"/>
          <w:numId w:val="13"/>
        </w:numPr>
        <w:spacing w:line="360" w:lineRule="auto"/>
        <w:ind w:firstLineChars="0"/>
        <w:rPr>
          <w:rFonts w:ascii="宋体" w:hAnsi="宋体"/>
          <w:sz w:val="24"/>
          <w:szCs w:val="24"/>
        </w:rPr>
      </w:pP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17"/>
        <w:numPr>
          <w:ilvl w:val="0"/>
          <w:numId w:val="13"/>
        </w:numPr>
        <w:spacing w:line="360" w:lineRule="auto"/>
        <w:ind w:firstLineChars="0"/>
        <w:rPr>
          <w:rFonts w:ascii="宋体" w:hAnsi="宋体"/>
          <w:sz w:val="24"/>
          <w:szCs w:val="24"/>
        </w:rPr>
      </w:pPr>
      <w:r>
        <w:rPr>
          <w:rFonts w:hint="eastAsia" w:ascii="宋体" w:hAnsi="宋体"/>
          <w:sz w:val="24"/>
          <w:szCs w:val="24"/>
        </w:rPr>
        <w:t>系统维护、售后服务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w:t>
      </w:r>
      <w:r>
        <w:rPr>
          <w:rFonts w:hint="eastAsia" w:ascii="宋体" w:hAnsi="宋体" w:cs="Times New Roman"/>
          <w:sz w:val="24"/>
          <w:szCs w:val="24"/>
          <w:lang w:val="en-US" w:eastAsia="zh-CN"/>
        </w:rPr>
        <w:tab/>
      </w:r>
      <w:r>
        <w:rPr>
          <w:rFonts w:hint="eastAsia" w:ascii="宋体" w:hAnsi="宋体" w:eastAsia="宋体" w:cs="Times New Roman"/>
          <w:sz w:val="24"/>
          <w:szCs w:val="24"/>
        </w:rPr>
        <w:t>作中遇到的业务问题、技术问题进行解答、指导；如遇特殊情况，可应甲方要求，提供现场服务。报修确认后60分钟内响应，2个工作日内出解决方案。</w:t>
      </w:r>
    </w:p>
    <w:p>
      <w:pPr>
        <w:pStyle w:val="17"/>
        <w:numPr>
          <w:ilvl w:val="1"/>
          <w:numId w:val="13"/>
        </w:numPr>
        <w:spacing w:line="360" w:lineRule="auto"/>
        <w:ind w:left="777" w:leftChars="0" w:firstLineChars="0"/>
        <w:rPr>
          <w:rFonts w:ascii="宋体" w:hAnsi="宋体"/>
          <w:sz w:val="24"/>
          <w:szCs w:val="24"/>
        </w:rPr>
      </w:pPr>
      <w:r>
        <w:rPr>
          <w:rFonts w:hint="eastAsia" w:ascii="宋体" w:hAnsi="宋体"/>
          <w:sz w:val="24"/>
          <w:szCs w:val="24"/>
        </w:rPr>
        <w:t>售后服务的形式：</w:t>
      </w:r>
    </w:p>
    <w:p>
      <w:pPr>
        <w:pStyle w:val="17"/>
        <w:numPr>
          <w:ilvl w:val="2"/>
          <w:numId w:val="13"/>
        </w:numPr>
        <w:spacing w:line="360" w:lineRule="auto"/>
        <w:ind w:left="1129" w:leftChars="0" w:firstLineChars="0"/>
        <w:rPr>
          <w:rFonts w:ascii="宋体" w:hAnsi="宋体"/>
          <w:sz w:val="24"/>
          <w:szCs w:val="24"/>
        </w:rPr>
      </w:pP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pStyle w:val="17"/>
        <w:numPr>
          <w:ilvl w:val="2"/>
          <w:numId w:val="13"/>
        </w:numPr>
        <w:spacing w:line="360" w:lineRule="auto"/>
        <w:ind w:left="1129" w:leftChars="0" w:firstLineChars="0"/>
        <w:rPr>
          <w:rFonts w:ascii="宋体" w:hAnsi="宋体"/>
          <w:sz w:val="24"/>
          <w:szCs w:val="24"/>
        </w:rPr>
      </w:pPr>
      <w:r>
        <w:rPr>
          <w:rFonts w:hint="eastAsia" w:ascii="宋体" w:hAnsi="宋体"/>
          <w:sz w:val="24"/>
          <w:szCs w:val="24"/>
        </w:rPr>
        <w:t>远程服务：医院允许投标人在现场人员不能排除故障时，授权通过电话线或VPN方式远程登录到院方网络系统进行免费的故障诊断和故障排除。</w:t>
      </w:r>
    </w:p>
    <w:p>
      <w:pPr>
        <w:pStyle w:val="17"/>
        <w:numPr>
          <w:ilvl w:val="2"/>
          <w:numId w:val="13"/>
        </w:numPr>
        <w:spacing w:line="360" w:lineRule="auto"/>
        <w:ind w:left="1129" w:leftChars="0" w:firstLineChars="0"/>
        <w:rPr>
          <w:rFonts w:ascii="宋体" w:hAnsi="宋体"/>
          <w:sz w:val="24"/>
          <w:szCs w:val="24"/>
        </w:rPr>
      </w:pP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17"/>
        <w:numPr>
          <w:ilvl w:val="2"/>
          <w:numId w:val="13"/>
        </w:numPr>
        <w:spacing w:line="360" w:lineRule="auto"/>
        <w:ind w:left="1129" w:leftChars="0" w:firstLineChars="0"/>
        <w:rPr>
          <w:rFonts w:ascii="宋体" w:hAnsi="宋体"/>
          <w:sz w:val="24"/>
          <w:szCs w:val="24"/>
        </w:rPr>
      </w:pPr>
      <w:r>
        <w:rPr>
          <w:rFonts w:hint="eastAsia" w:ascii="宋体" w:hAnsi="宋体"/>
          <w:sz w:val="24"/>
          <w:szCs w:val="24"/>
        </w:rPr>
        <w:t>其他售后服务承诺：在系统实施及保修期内，院方提出对软件更改的要求，投标人应予以满足。</w:t>
      </w:r>
    </w:p>
    <w:p>
      <w:pPr>
        <w:pStyle w:val="17"/>
        <w:numPr>
          <w:ilvl w:val="2"/>
          <w:numId w:val="13"/>
        </w:numPr>
        <w:spacing w:line="360" w:lineRule="auto"/>
        <w:ind w:left="1129" w:leftChars="0" w:firstLineChars="0"/>
        <w:rPr>
          <w:rFonts w:ascii="宋体" w:hAnsi="宋体"/>
          <w:sz w:val="24"/>
          <w:szCs w:val="24"/>
        </w:rPr>
      </w:pP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17"/>
        <w:numPr>
          <w:ilvl w:val="2"/>
          <w:numId w:val="13"/>
        </w:numPr>
        <w:spacing w:line="360" w:lineRule="auto"/>
        <w:ind w:left="1129" w:leftChars="0" w:firstLineChars="0"/>
        <w:rPr>
          <w:rFonts w:ascii="宋体" w:hAnsi="宋体"/>
          <w:sz w:val="24"/>
          <w:szCs w:val="24"/>
        </w:rPr>
      </w:pPr>
      <w:r>
        <w:rPr>
          <w:rFonts w:hint="eastAsia" w:ascii="宋体" w:hAnsi="宋体"/>
          <w:sz w:val="24"/>
          <w:szCs w:val="24"/>
        </w:rPr>
        <w:t>系统软硬件保修要求:所有系统软硬件均必须原厂授权证明；系统软件必须提供至少1年7*24售后服务。</w:t>
      </w:r>
    </w:p>
    <w:p>
      <w:pPr>
        <w:pStyle w:val="17"/>
        <w:numPr>
          <w:ilvl w:val="0"/>
          <w:numId w:val="13"/>
        </w:numPr>
        <w:spacing w:line="360" w:lineRule="auto"/>
        <w:ind w:firstLineChars="0"/>
        <w:rPr>
          <w:rFonts w:ascii="宋体" w:hAnsi="宋体"/>
          <w:sz w:val="24"/>
          <w:szCs w:val="24"/>
        </w:rPr>
      </w:pPr>
      <w:r>
        <w:rPr>
          <w:rFonts w:hint="eastAsia" w:ascii="宋体" w:hAnsi="宋体"/>
          <w:sz w:val="24"/>
          <w:szCs w:val="24"/>
        </w:rPr>
        <w:t>项目验收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系统验收合格的条件至少满足以下三个要求：试运行时性能满足合同要求；性能测试和试运行验收时出现的问题已被解决；已提供了合同的全部货物和资料。</w:t>
      </w:r>
    </w:p>
    <w:p>
      <w:pPr>
        <w:spacing w:line="360" w:lineRule="auto"/>
        <w:rPr>
          <w:rFonts w:ascii="宋体" w:hAnsi="宋体" w:eastAsia="宋体" w:cs="Times New Roman"/>
          <w:sz w:val="24"/>
          <w:szCs w:val="24"/>
        </w:rPr>
      </w:pPr>
    </w:p>
    <w:p>
      <w:pPr>
        <w:rPr>
          <w:rFonts w:hint="eastAsia" w:ascii="宋体" w:hAnsi="宋体" w:eastAsia="宋体" w:cs="宋体"/>
          <w:sz w:val="24"/>
          <w:szCs w:val="24"/>
        </w:rPr>
      </w:pPr>
    </w:p>
    <w:p>
      <w:pPr>
        <w:pStyle w:val="15"/>
        <w:rPr>
          <w:rFonts w:hint="eastAsia" w:ascii="宋体" w:hAnsi="宋体" w:eastAsia="宋体" w:cs="宋体"/>
          <w:sz w:val="24"/>
          <w:szCs w:val="24"/>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numPr>
          <w:ilvl w:val="0"/>
          <w:numId w:val="6"/>
        </w:numPr>
        <w:rPr>
          <w:rFonts w:hint="eastAsia" w:ascii="宋体" w:hAnsi="宋体" w:eastAsia="宋体" w:cs="宋体"/>
        </w:rPr>
      </w:pPr>
      <w:r>
        <w:rPr>
          <w:rFonts w:hint="eastAsia" w:ascii="宋体" w:hAnsi="宋体" w:eastAsia="宋体" w:cs="宋体"/>
        </w:rPr>
        <w:t>附件</w:t>
      </w: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p>
    <w:p>
      <w:pPr>
        <w:jc w:val="left"/>
        <w:rPr>
          <w:rFonts w:hint="eastAsia" w:ascii="宋体" w:hAnsi="宋体" w:cs="宋体"/>
          <w:sz w:val="24"/>
          <w:lang w:val="en-US" w:eastAsia="zh-CN"/>
        </w:rPr>
      </w:pPr>
      <w:r>
        <w:rPr>
          <w:rFonts w:hint="eastAsia" w:ascii="宋体" w:hAnsi="宋体" w:cs="宋体"/>
          <w:sz w:val="24"/>
        </w:rPr>
        <w:t>附件1：</w:t>
      </w:r>
      <w:r>
        <w:rPr>
          <w:rFonts w:hint="eastAsia" w:ascii="宋体" w:hAnsi="宋体" w:cs="宋体"/>
          <w:sz w:val="24"/>
          <w:lang w:val="en-US" w:eastAsia="zh-CN"/>
        </w:rPr>
        <w:t>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szCs w:val="24"/>
          <w:lang w:eastAsia="zh-CN"/>
        </w:rPr>
      </w:pPr>
      <w:r>
        <w:rPr>
          <w:rFonts w:hint="eastAsia" w:ascii="宋体"/>
          <w:sz w:val="24"/>
        </w:rPr>
        <w:t xml:space="preserve">  </w:t>
      </w:r>
      <w:r>
        <w:rPr>
          <w:rFonts w:hint="eastAsia" w:ascii="宋体"/>
          <w:sz w:val="24"/>
          <w:szCs w:val="24"/>
        </w:rPr>
        <w:t xml:space="preserve"> 遴选编号</w:t>
      </w:r>
      <w:r>
        <w:rPr>
          <w:rFonts w:ascii="宋体"/>
          <w:sz w:val="24"/>
          <w:szCs w:val="24"/>
        </w:rPr>
        <w:t>:</w:t>
      </w:r>
      <w:r>
        <w:rPr>
          <w:highlight w:val="none"/>
        </w:rPr>
        <w:t xml:space="preserve"> </w:t>
      </w:r>
      <w:r>
        <w:rPr>
          <w:rFonts w:ascii="宋体"/>
          <w:sz w:val="24"/>
          <w:szCs w:val="24"/>
          <w:highlight w:val="none"/>
          <w:u w:val="single"/>
        </w:rPr>
        <w:t>2021-ETLX</w:t>
      </w:r>
      <w:r>
        <w:rPr>
          <w:rFonts w:hint="eastAsia" w:ascii="宋体"/>
          <w:sz w:val="24"/>
          <w:szCs w:val="24"/>
          <w:highlight w:val="none"/>
          <w:u w:val="single"/>
          <w:lang w:val="en-US" w:eastAsia="zh-CN"/>
        </w:rPr>
        <w:t>XB</w:t>
      </w:r>
      <w:r>
        <w:rPr>
          <w:rFonts w:ascii="宋体"/>
          <w:sz w:val="24"/>
          <w:szCs w:val="24"/>
          <w:highlight w:val="none"/>
          <w:u w:val="single"/>
        </w:rPr>
        <w:t>-00</w:t>
      </w:r>
      <w:r>
        <w:rPr>
          <w:rFonts w:hint="eastAsia" w:ascii="宋体"/>
          <w:sz w:val="24"/>
          <w:szCs w:val="24"/>
          <w:highlight w:val="none"/>
          <w:u w:val="single"/>
          <w:lang w:val="en-US" w:eastAsia="zh-CN"/>
        </w:rPr>
        <w:t>3</w:t>
      </w:r>
    </w:p>
    <w:p>
      <w:pPr>
        <w:spacing w:line="360" w:lineRule="auto"/>
        <w:ind w:firstLine="360" w:firstLineChars="150"/>
        <w:rPr>
          <w:rFonts w:hint="eastAsia" w:ascii="宋体"/>
          <w:sz w:val="24"/>
          <w:szCs w:val="24"/>
          <w:u w:val="single"/>
        </w:rPr>
      </w:pPr>
      <w:r>
        <w:rPr>
          <w:rFonts w:hint="eastAsia" w:ascii="宋体"/>
          <w:sz w:val="24"/>
          <w:szCs w:val="24"/>
        </w:rPr>
        <w:t>项目名称：</w:t>
      </w:r>
      <w:r>
        <w:rPr>
          <w:rFonts w:hint="eastAsia" w:ascii="宋体"/>
          <w:sz w:val="24"/>
          <w:szCs w:val="24"/>
          <w:u w:val="single"/>
        </w:rPr>
        <w:t>冰箱温度巡检系统（老院检验科）项目</w:t>
      </w:r>
    </w:p>
    <w:p>
      <w:pPr>
        <w:spacing w:line="360" w:lineRule="auto"/>
        <w:ind w:firstLine="360" w:firstLineChars="150"/>
        <w:rPr>
          <w:rFonts w:hint="default" w:ascii="宋体"/>
          <w:sz w:val="24"/>
          <w:szCs w:val="24"/>
          <w:lang w:val="en-US" w:eastAsia="zh-CN"/>
        </w:rPr>
      </w:pPr>
      <w:r>
        <w:rPr>
          <w:rFonts w:hint="eastAsia" w:ascii="宋体"/>
          <w:sz w:val="24"/>
          <w:szCs w:val="24"/>
          <w:lang w:val="en-US" w:eastAsia="zh-CN"/>
        </w:rPr>
        <w:t>报价明细：</w:t>
      </w:r>
    </w:p>
    <w:tbl>
      <w:tblPr>
        <w:tblStyle w:val="10"/>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560"/>
        <w:gridCol w:w="960"/>
        <w:gridCol w:w="1541"/>
        <w:gridCol w:w="1213"/>
        <w:gridCol w:w="128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vAlign w:val="center"/>
          </w:tcPr>
          <w:p>
            <w:pPr>
              <w:pStyle w:val="2"/>
              <w:ind w:left="0" w:leftChars="0" w:firstLine="0" w:firstLineChars="0"/>
              <w:jc w:val="center"/>
              <w:rPr>
                <w:rFonts w:hint="eastAsia" w:ascii="宋体" w:eastAsia="宋体"/>
                <w:sz w:val="24"/>
                <w:vertAlign w:val="baseline"/>
                <w:lang w:val="en-US" w:eastAsia="zh-CN"/>
              </w:rPr>
            </w:pPr>
            <w:r>
              <w:rPr>
                <w:rFonts w:hint="eastAsia" w:ascii="宋体"/>
                <w:sz w:val="24"/>
                <w:vertAlign w:val="baseline"/>
                <w:lang w:val="en-US" w:eastAsia="zh-CN"/>
              </w:rPr>
              <w:t>序号</w:t>
            </w:r>
          </w:p>
        </w:tc>
        <w:tc>
          <w:tcPr>
            <w:tcW w:w="1960" w:type="dxa"/>
            <w:vAlign w:val="center"/>
          </w:tcPr>
          <w:p>
            <w:pPr>
              <w:pStyle w:val="2"/>
              <w:ind w:left="0" w:leftChars="0" w:firstLine="0" w:firstLineChars="0"/>
              <w:jc w:val="center"/>
              <w:rPr>
                <w:rFonts w:hint="eastAsia" w:ascii="宋体" w:eastAsia="宋体"/>
                <w:sz w:val="24"/>
                <w:vertAlign w:val="baseline"/>
                <w:lang w:val="en-US" w:eastAsia="zh-CN"/>
              </w:rPr>
            </w:pPr>
            <w:r>
              <w:rPr>
                <w:rFonts w:hint="eastAsia" w:ascii="宋体"/>
                <w:sz w:val="24"/>
                <w:vertAlign w:val="baseline"/>
                <w:lang w:val="en-US" w:eastAsia="zh-CN"/>
              </w:rPr>
              <w:t>设备名称</w:t>
            </w:r>
          </w:p>
        </w:tc>
        <w:tc>
          <w:tcPr>
            <w:tcW w:w="1560" w:type="dxa"/>
            <w:vAlign w:val="center"/>
          </w:tcPr>
          <w:p>
            <w:pPr>
              <w:pStyle w:val="2"/>
              <w:ind w:left="0" w:leftChars="0" w:firstLine="0" w:firstLineChars="0"/>
              <w:jc w:val="center"/>
              <w:rPr>
                <w:rFonts w:hint="default" w:ascii="宋体" w:eastAsia="宋体"/>
                <w:sz w:val="24"/>
                <w:vertAlign w:val="baseline"/>
                <w:lang w:val="en-US" w:eastAsia="zh-CN"/>
              </w:rPr>
            </w:pPr>
            <w:r>
              <w:rPr>
                <w:rFonts w:hint="eastAsia" w:ascii="宋体"/>
                <w:sz w:val="24"/>
                <w:vertAlign w:val="baseline"/>
                <w:lang w:val="en-US" w:eastAsia="zh-CN"/>
              </w:rPr>
              <w:t>规格型号</w:t>
            </w:r>
          </w:p>
        </w:tc>
        <w:tc>
          <w:tcPr>
            <w:tcW w:w="960" w:type="dxa"/>
            <w:vAlign w:val="center"/>
          </w:tcPr>
          <w:p>
            <w:pPr>
              <w:pStyle w:val="2"/>
              <w:ind w:left="0" w:leftChars="0" w:firstLine="0" w:firstLineChars="0"/>
              <w:jc w:val="center"/>
              <w:rPr>
                <w:rFonts w:hint="eastAsia" w:ascii="宋体" w:eastAsia="宋体"/>
                <w:sz w:val="24"/>
                <w:vertAlign w:val="baseline"/>
                <w:lang w:val="en-US" w:eastAsia="zh-CN"/>
              </w:rPr>
            </w:pPr>
            <w:r>
              <w:rPr>
                <w:rFonts w:hint="eastAsia" w:ascii="宋体"/>
                <w:sz w:val="24"/>
                <w:vertAlign w:val="baseline"/>
                <w:lang w:val="en-US" w:eastAsia="zh-CN"/>
              </w:rPr>
              <w:t>数量</w:t>
            </w:r>
          </w:p>
        </w:tc>
        <w:tc>
          <w:tcPr>
            <w:tcW w:w="1541" w:type="dxa"/>
            <w:vAlign w:val="center"/>
          </w:tcPr>
          <w:p>
            <w:pPr>
              <w:pStyle w:val="2"/>
              <w:ind w:left="0" w:leftChars="0" w:firstLine="0" w:firstLineChars="0"/>
              <w:jc w:val="center"/>
              <w:rPr>
                <w:rFonts w:hint="default" w:ascii="宋体" w:eastAsia="宋体"/>
                <w:sz w:val="24"/>
                <w:vertAlign w:val="baseline"/>
                <w:lang w:val="en-US" w:eastAsia="zh-CN"/>
              </w:rPr>
            </w:pPr>
            <w:r>
              <w:rPr>
                <w:rFonts w:hint="eastAsia" w:ascii="宋体"/>
                <w:sz w:val="24"/>
                <w:vertAlign w:val="baseline"/>
                <w:lang w:val="en-US" w:eastAsia="zh-CN"/>
              </w:rPr>
              <w:t>制造商名称</w:t>
            </w:r>
          </w:p>
        </w:tc>
        <w:tc>
          <w:tcPr>
            <w:tcW w:w="1213" w:type="dxa"/>
            <w:vAlign w:val="center"/>
          </w:tcPr>
          <w:p>
            <w:pPr>
              <w:pStyle w:val="2"/>
              <w:ind w:left="0" w:leftChars="0" w:firstLine="0" w:firstLineChars="0"/>
              <w:jc w:val="center"/>
              <w:rPr>
                <w:rFonts w:hint="default" w:ascii="宋体" w:eastAsia="宋体"/>
                <w:sz w:val="24"/>
                <w:vertAlign w:val="baseline"/>
                <w:lang w:val="en-US" w:eastAsia="zh-CN"/>
              </w:rPr>
            </w:pPr>
            <w:r>
              <w:rPr>
                <w:rFonts w:hint="eastAsia" w:ascii="宋体"/>
                <w:sz w:val="24"/>
                <w:vertAlign w:val="baseline"/>
                <w:lang w:val="en-US" w:eastAsia="zh-CN"/>
              </w:rPr>
              <w:t>单价（元）</w:t>
            </w:r>
          </w:p>
        </w:tc>
        <w:tc>
          <w:tcPr>
            <w:tcW w:w="1281" w:type="dxa"/>
            <w:vAlign w:val="center"/>
          </w:tcPr>
          <w:p>
            <w:pPr>
              <w:pStyle w:val="2"/>
              <w:ind w:left="0" w:leftChars="0" w:firstLine="0" w:firstLineChars="0"/>
              <w:jc w:val="center"/>
              <w:rPr>
                <w:rFonts w:hint="default" w:ascii="宋体" w:eastAsia="宋体"/>
                <w:sz w:val="24"/>
                <w:vertAlign w:val="baseline"/>
                <w:lang w:val="en-US" w:eastAsia="zh-CN"/>
              </w:rPr>
            </w:pPr>
            <w:r>
              <w:rPr>
                <w:rFonts w:hint="eastAsia" w:ascii="宋体"/>
                <w:sz w:val="24"/>
                <w:vertAlign w:val="baseline"/>
                <w:lang w:val="en-US" w:eastAsia="zh-CN"/>
              </w:rPr>
              <w:t>合计（元）</w:t>
            </w:r>
          </w:p>
        </w:tc>
        <w:tc>
          <w:tcPr>
            <w:tcW w:w="1247" w:type="dxa"/>
            <w:vAlign w:val="center"/>
          </w:tcPr>
          <w:p>
            <w:pPr>
              <w:pStyle w:val="2"/>
              <w:ind w:left="0" w:leftChars="0" w:firstLine="0" w:firstLineChars="0"/>
              <w:jc w:val="center"/>
              <w:rPr>
                <w:rFonts w:hint="default" w:ascii="宋体" w:hAnsi="Times New Roman" w:eastAsia="宋体" w:cs="Times New Roman"/>
                <w:kern w:val="2"/>
                <w:sz w:val="24"/>
                <w:szCs w:val="24"/>
                <w:vertAlign w:val="baseline"/>
                <w:lang w:val="en-US" w:eastAsia="zh-CN" w:bidi="ar-SA"/>
              </w:rPr>
            </w:pPr>
            <w:r>
              <w:rPr>
                <w:rFonts w:hint="eastAsia" w:ascii="宋体"/>
                <w:sz w:val="24"/>
                <w:vertAlign w:val="baseline"/>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ind w:left="0" w:leftChars="0" w:firstLine="0" w:firstLineChars="0"/>
              <w:jc w:val="center"/>
              <w:rPr>
                <w:rFonts w:hint="eastAsia" w:ascii="宋体"/>
                <w:sz w:val="24"/>
                <w:vertAlign w:val="baseline"/>
              </w:rPr>
            </w:pPr>
          </w:p>
        </w:tc>
        <w:tc>
          <w:tcPr>
            <w:tcW w:w="1960" w:type="dxa"/>
            <w:vAlign w:val="center"/>
          </w:tcPr>
          <w:p>
            <w:pPr>
              <w:pStyle w:val="2"/>
              <w:jc w:val="center"/>
              <w:rPr>
                <w:rFonts w:hint="eastAsia" w:ascii="宋体"/>
                <w:sz w:val="24"/>
                <w:vertAlign w:val="baseline"/>
              </w:rPr>
            </w:pPr>
          </w:p>
        </w:tc>
        <w:tc>
          <w:tcPr>
            <w:tcW w:w="1560" w:type="dxa"/>
            <w:vAlign w:val="center"/>
          </w:tcPr>
          <w:p>
            <w:pPr>
              <w:pStyle w:val="2"/>
              <w:jc w:val="center"/>
              <w:rPr>
                <w:rFonts w:hint="eastAsia" w:ascii="宋体"/>
                <w:sz w:val="24"/>
                <w:vertAlign w:val="baseline"/>
              </w:rPr>
            </w:pPr>
          </w:p>
        </w:tc>
        <w:tc>
          <w:tcPr>
            <w:tcW w:w="960" w:type="dxa"/>
            <w:vAlign w:val="center"/>
          </w:tcPr>
          <w:p>
            <w:pPr>
              <w:pStyle w:val="2"/>
              <w:jc w:val="center"/>
              <w:rPr>
                <w:rFonts w:hint="eastAsia" w:ascii="宋体"/>
                <w:sz w:val="24"/>
                <w:vertAlign w:val="baseline"/>
              </w:rPr>
            </w:pPr>
          </w:p>
        </w:tc>
        <w:tc>
          <w:tcPr>
            <w:tcW w:w="1541" w:type="dxa"/>
            <w:vAlign w:val="center"/>
          </w:tcPr>
          <w:p>
            <w:pPr>
              <w:pStyle w:val="2"/>
              <w:jc w:val="center"/>
              <w:rPr>
                <w:rFonts w:hint="eastAsia" w:ascii="宋体"/>
                <w:sz w:val="24"/>
                <w:vertAlign w:val="baseline"/>
              </w:rPr>
            </w:pPr>
          </w:p>
        </w:tc>
        <w:tc>
          <w:tcPr>
            <w:tcW w:w="1213" w:type="dxa"/>
            <w:vAlign w:val="center"/>
          </w:tcPr>
          <w:p>
            <w:pPr>
              <w:pStyle w:val="2"/>
              <w:jc w:val="center"/>
              <w:rPr>
                <w:rFonts w:hint="eastAsia" w:ascii="宋体"/>
                <w:sz w:val="24"/>
                <w:vertAlign w:val="baseline"/>
              </w:rPr>
            </w:pPr>
          </w:p>
        </w:tc>
        <w:tc>
          <w:tcPr>
            <w:tcW w:w="1281" w:type="dxa"/>
            <w:vAlign w:val="center"/>
          </w:tcPr>
          <w:p>
            <w:pPr>
              <w:pStyle w:val="2"/>
              <w:jc w:val="center"/>
              <w:rPr>
                <w:rFonts w:hint="eastAsia" w:ascii="宋体"/>
                <w:sz w:val="24"/>
                <w:vertAlign w:val="baseline"/>
              </w:rPr>
            </w:pPr>
          </w:p>
        </w:tc>
        <w:tc>
          <w:tcPr>
            <w:tcW w:w="1247" w:type="dxa"/>
            <w:vAlign w:val="center"/>
          </w:tcPr>
          <w:p>
            <w:pPr>
              <w:pStyle w:val="2"/>
              <w:jc w:val="center"/>
              <w:rPr>
                <w:rFonts w:hint="eastAsia" w:asci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sz w:val="24"/>
                <w:vertAlign w:val="baseline"/>
              </w:rPr>
            </w:pPr>
          </w:p>
        </w:tc>
        <w:tc>
          <w:tcPr>
            <w:tcW w:w="1960" w:type="dxa"/>
            <w:vAlign w:val="center"/>
          </w:tcPr>
          <w:p>
            <w:pPr>
              <w:pStyle w:val="2"/>
              <w:jc w:val="center"/>
              <w:rPr>
                <w:rFonts w:hint="eastAsia" w:ascii="宋体"/>
                <w:sz w:val="24"/>
                <w:vertAlign w:val="baseline"/>
              </w:rPr>
            </w:pPr>
          </w:p>
        </w:tc>
        <w:tc>
          <w:tcPr>
            <w:tcW w:w="1560" w:type="dxa"/>
            <w:vAlign w:val="center"/>
          </w:tcPr>
          <w:p>
            <w:pPr>
              <w:pStyle w:val="2"/>
              <w:jc w:val="center"/>
              <w:rPr>
                <w:rFonts w:hint="eastAsia" w:ascii="宋体"/>
                <w:sz w:val="24"/>
                <w:vertAlign w:val="baseline"/>
              </w:rPr>
            </w:pPr>
          </w:p>
        </w:tc>
        <w:tc>
          <w:tcPr>
            <w:tcW w:w="960" w:type="dxa"/>
            <w:vAlign w:val="center"/>
          </w:tcPr>
          <w:p>
            <w:pPr>
              <w:pStyle w:val="2"/>
              <w:jc w:val="center"/>
              <w:rPr>
                <w:rFonts w:hint="eastAsia" w:ascii="宋体"/>
                <w:sz w:val="24"/>
                <w:vertAlign w:val="baseline"/>
              </w:rPr>
            </w:pPr>
          </w:p>
        </w:tc>
        <w:tc>
          <w:tcPr>
            <w:tcW w:w="1541" w:type="dxa"/>
            <w:vAlign w:val="center"/>
          </w:tcPr>
          <w:p>
            <w:pPr>
              <w:pStyle w:val="2"/>
              <w:jc w:val="center"/>
              <w:rPr>
                <w:rFonts w:hint="eastAsia" w:ascii="宋体"/>
                <w:sz w:val="24"/>
                <w:vertAlign w:val="baseline"/>
              </w:rPr>
            </w:pPr>
          </w:p>
        </w:tc>
        <w:tc>
          <w:tcPr>
            <w:tcW w:w="1213" w:type="dxa"/>
            <w:vAlign w:val="center"/>
          </w:tcPr>
          <w:p>
            <w:pPr>
              <w:pStyle w:val="2"/>
              <w:jc w:val="center"/>
              <w:rPr>
                <w:rFonts w:hint="eastAsia" w:ascii="宋体"/>
                <w:sz w:val="24"/>
                <w:vertAlign w:val="baseline"/>
              </w:rPr>
            </w:pPr>
          </w:p>
        </w:tc>
        <w:tc>
          <w:tcPr>
            <w:tcW w:w="1281" w:type="dxa"/>
            <w:vAlign w:val="center"/>
          </w:tcPr>
          <w:p>
            <w:pPr>
              <w:pStyle w:val="2"/>
              <w:jc w:val="center"/>
              <w:rPr>
                <w:rFonts w:hint="eastAsia" w:ascii="宋体"/>
                <w:sz w:val="24"/>
                <w:vertAlign w:val="baseline"/>
              </w:rPr>
            </w:pPr>
          </w:p>
        </w:tc>
        <w:tc>
          <w:tcPr>
            <w:tcW w:w="1247" w:type="dxa"/>
            <w:vAlign w:val="center"/>
          </w:tcPr>
          <w:p>
            <w:pPr>
              <w:pStyle w:val="2"/>
              <w:jc w:val="center"/>
              <w:rPr>
                <w:rFonts w:hint="eastAsia" w:asci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sz w:val="24"/>
                <w:vertAlign w:val="baseline"/>
              </w:rPr>
            </w:pPr>
          </w:p>
        </w:tc>
        <w:tc>
          <w:tcPr>
            <w:tcW w:w="1960" w:type="dxa"/>
            <w:vAlign w:val="center"/>
          </w:tcPr>
          <w:p>
            <w:pPr>
              <w:pStyle w:val="2"/>
              <w:jc w:val="center"/>
              <w:rPr>
                <w:rFonts w:hint="eastAsia" w:ascii="宋体"/>
                <w:sz w:val="24"/>
                <w:vertAlign w:val="baseline"/>
              </w:rPr>
            </w:pPr>
          </w:p>
        </w:tc>
        <w:tc>
          <w:tcPr>
            <w:tcW w:w="1560" w:type="dxa"/>
            <w:vAlign w:val="center"/>
          </w:tcPr>
          <w:p>
            <w:pPr>
              <w:pStyle w:val="2"/>
              <w:jc w:val="center"/>
              <w:rPr>
                <w:rFonts w:hint="eastAsia" w:ascii="宋体"/>
                <w:sz w:val="24"/>
                <w:vertAlign w:val="baseline"/>
              </w:rPr>
            </w:pPr>
          </w:p>
        </w:tc>
        <w:tc>
          <w:tcPr>
            <w:tcW w:w="960" w:type="dxa"/>
            <w:vAlign w:val="center"/>
          </w:tcPr>
          <w:p>
            <w:pPr>
              <w:pStyle w:val="2"/>
              <w:jc w:val="center"/>
              <w:rPr>
                <w:rFonts w:hint="eastAsia" w:ascii="宋体"/>
                <w:sz w:val="24"/>
                <w:vertAlign w:val="baseline"/>
              </w:rPr>
            </w:pPr>
          </w:p>
        </w:tc>
        <w:tc>
          <w:tcPr>
            <w:tcW w:w="1541" w:type="dxa"/>
            <w:vAlign w:val="center"/>
          </w:tcPr>
          <w:p>
            <w:pPr>
              <w:pStyle w:val="2"/>
              <w:jc w:val="center"/>
              <w:rPr>
                <w:rFonts w:hint="eastAsia" w:ascii="宋体"/>
                <w:sz w:val="24"/>
                <w:vertAlign w:val="baseline"/>
              </w:rPr>
            </w:pPr>
          </w:p>
        </w:tc>
        <w:tc>
          <w:tcPr>
            <w:tcW w:w="1213" w:type="dxa"/>
            <w:vAlign w:val="center"/>
          </w:tcPr>
          <w:p>
            <w:pPr>
              <w:pStyle w:val="2"/>
              <w:jc w:val="center"/>
              <w:rPr>
                <w:rFonts w:hint="eastAsia" w:ascii="宋体"/>
                <w:sz w:val="24"/>
                <w:vertAlign w:val="baseline"/>
              </w:rPr>
            </w:pPr>
          </w:p>
        </w:tc>
        <w:tc>
          <w:tcPr>
            <w:tcW w:w="1281" w:type="dxa"/>
            <w:vAlign w:val="center"/>
          </w:tcPr>
          <w:p>
            <w:pPr>
              <w:pStyle w:val="2"/>
              <w:jc w:val="center"/>
              <w:rPr>
                <w:rFonts w:hint="eastAsia" w:ascii="宋体"/>
                <w:sz w:val="24"/>
                <w:vertAlign w:val="baseline"/>
              </w:rPr>
            </w:pPr>
          </w:p>
        </w:tc>
        <w:tc>
          <w:tcPr>
            <w:tcW w:w="1247" w:type="dxa"/>
            <w:vAlign w:val="center"/>
          </w:tcPr>
          <w:p>
            <w:pPr>
              <w:pStyle w:val="2"/>
              <w:jc w:val="center"/>
              <w:rPr>
                <w:rFonts w:hint="eastAsia" w:asci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vAlign w:val="center"/>
          </w:tcPr>
          <w:p>
            <w:pPr>
              <w:pStyle w:val="2"/>
              <w:ind w:left="0" w:leftChars="0" w:firstLine="0" w:firstLineChars="0"/>
              <w:jc w:val="center"/>
              <w:rPr>
                <w:rFonts w:hint="eastAsia" w:ascii="宋体"/>
                <w:sz w:val="24"/>
                <w:vertAlign w:val="baseline"/>
              </w:rPr>
            </w:pPr>
            <w:r>
              <w:rPr>
                <w:rFonts w:hint="eastAsia" w:ascii="宋体"/>
                <w:sz w:val="24"/>
                <w:vertAlign w:val="baseline"/>
                <w:lang w:val="en-US" w:eastAsia="zh-CN"/>
              </w:rPr>
              <w:t>总价（元）：</w:t>
            </w:r>
          </w:p>
        </w:tc>
        <w:tc>
          <w:tcPr>
            <w:tcW w:w="7802" w:type="dxa"/>
            <w:gridSpan w:val="6"/>
            <w:vAlign w:val="center"/>
          </w:tcPr>
          <w:p>
            <w:pPr>
              <w:pStyle w:val="2"/>
              <w:jc w:val="center"/>
              <w:rPr>
                <w:rFonts w:hint="eastAsia" w:asci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vAlign w:val="center"/>
          </w:tcPr>
          <w:p>
            <w:pPr>
              <w:pStyle w:val="2"/>
              <w:ind w:left="0" w:leftChars="0" w:firstLine="0" w:firstLineChars="0"/>
              <w:jc w:val="center"/>
              <w:rPr>
                <w:rFonts w:hint="eastAsia" w:ascii="宋体"/>
                <w:sz w:val="24"/>
                <w:vertAlign w:val="baseline"/>
              </w:rPr>
            </w:pPr>
            <w:r>
              <w:rPr>
                <w:rFonts w:hint="eastAsia" w:ascii="宋体"/>
                <w:sz w:val="24"/>
                <w:vertAlign w:val="baseline"/>
                <w:lang w:val="en-US" w:eastAsia="zh-CN"/>
              </w:rPr>
              <w:t>总价（大写）：</w:t>
            </w:r>
          </w:p>
        </w:tc>
        <w:tc>
          <w:tcPr>
            <w:tcW w:w="7802" w:type="dxa"/>
            <w:gridSpan w:val="6"/>
            <w:vAlign w:val="center"/>
          </w:tcPr>
          <w:p>
            <w:pPr>
              <w:pStyle w:val="2"/>
              <w:jc w:val="center"/>
              <w:rPr>
                <w:rFonts w:hint="eastAsia" w:ascii="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vAlign w:val="center"/>
          </w:tcPr>
          <w:p>
            <w:pPr>
              <w:pStyle w:val="2"/>
              <w:ind w:left="0" w:leftChars="0" w:firstLine="0" w:firstLineChars="0"/>
              <w:jc w:val="center"/>
              <w:rPr>
                <w:rFonts w:hint="eastAsia" w:ascii="宋体"/>
                <w:sz w:val="24"/>
                <w:vertAlign w:val="baseline"/>
              </w:rPr>
            </w:pPr>
            <w:r>
              <w:rPr>
                <w:rFonts w:hint="eastAsia" w:ascii="宋体"/>
                <w:sz w:val="24"/>
                <w:vertAlign w:val="baseline"/>
                <w:lang w:val="en-US" w:eastAsia="zh-CN"/>
              </w:rPr>
              <w:t>备注：</w:t>
            </w:r>
          </w:p>
        </w:tc>
        <w:tc>
          <w:tcPr>
            <w:tcW w:w="7802" w:type="dxa"/>
            <w:gridSpan w:val="6"/>
            <w:vAlign w:val="center"/>
          </w:tcPr>
          <w:p>
            <w:pPr>
              <w:pStyle w:val="2"/>
              <w:jc w:val="center"/>
              <w:rPr>
                <w:rFonts w:hint="eastAsia" w:ascii="宋体"/>
                <w:sz w:val="24"/>
                <w:vertAlign w:val="baseline"/>
              </w:rPr>
            </w:pPr>
          </w:p>
        </w:tc>
      </w:tr>
    </w:tbl>
    <w:p>
      <w:pPr>
        <w:spacing w:line="360" w:lineRule="auto"/>
        <w:rPr>
          <w:rFonts w:hint="eastAsia" w:ascii="宋体"/>
          <w:sz w:val="24"/>
        </w:rPr>
      </w:pPr>
    </w:p>
    <w:p>
      <w:pPr>
        <w:pStyle w:val="2"/>
        <w:rPr>
          <w:rFonts w:hint="eastAsia" w:ascii="宋体"/>
          <w:sz w:val="24"/>
        </w:rPr>
      </w:pPr>
    </w:p>
    <w:p>
      <w:pPr>
        <w:pStyle w:val="2"/>
        <w:ind w:left="0" w:leftChars="0" w:firstLine="0" w:firstLineChars="0"/>
        <w:rPr>
          <w:rFonts w:hint="eastAsia" w:ascii="宋体"/>
          <w:sz w:val="24"/>
        </w:rPr>
      </w:pPr>
    </w:p>
    <w:p>
      <w:pPr>
        <w:pStyle w:val="2"/>
        <w:ind w:left="0" w:leftChars="0" w:firstLine="0" w:firstLineChars="0"/>
        <w:rPr>
          <w:rFonts w:hint="eastAsia" w:ascii="宋体"/>
          <w:sz w:val="24"/>
        </w:rPr>
      </w:pPr>
    </w:p>
    <w:p>
      <w:pPr>
        <w:pStyle w:val="2"/>
        <w:ind w:left="0" w:leftChars="0" w:firstLine="0" w:firstLineChars="0"/>
        <w:rPr>
          <w:rFonts w:hint="eastAsia" w:ascii="宋体"/>
          <w:sz w:val="24"/>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pStyle w:val="2"/>
        <w:rPr>
          <w:rFonts w:hint="eastAsia"/>
          <w:lang w:val="en-US" w:eastAsia="zh-CN"/>
        </w:rPr>
      </w:pPr>
    </w:p>
    <w:p>
      <w:pPr>
        <w:jc w:val="left"/>
        <w:rPr>
          <w:rFonts w:hint="eastAsia" w:ascii="宋体" w:hAnsi="宋体" w:cs="宋体"/>
          <w:sz w:val="24"/>
        </w:rPr>
      </w:pPr>
    </w:p>
    <w:p>
      <w:pPr>
        <w:jc w:val="left"/>
        <w:rPr>
          <w:rFonts w:hint="eastAsia"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w:t>
      </w:r>
      <w:r>
        <w:rPr>
          <w:rFonts w:hint="eastAsia" w:ascii="宋体" w:hAnsi="宋体" w:cs="宋体"/>
          <w:sz w:val="24"/>
          <w:lang w:val="en-US" w:eastAsia="zh-CN"/>
        </w:rPr>
        <w:t>2</w:t>
      </w:r>
      <w:r>
        <w:rPr>
          <w:rFonts w:hint="eastAsia" w:ascii="宋体" w:hAnsi="宋体" w:cs="宋体"/>
          <w:sz w:val="24"/>
        </w:rPr>
        <w:t>：法人代表授权书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8"/>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8"/>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8"/>
        <w:autoSpaceDE w:val="0"/>
        <w:autoSpaceDN w:val="0"/>
        <w:spacing w:before="120" w:after="120" w:line="240" w:lineRule="atLeast"/>
        <w:jc w:val="left"/>
        <w:rPr>
          <w:rFonts w:hint="eastAsia" w:ascii="宋体" w:hAnsi="宋体" w:eastAsia="宋体" w:cs="宋体"/>
        </w:rPr>
      </w:pPr>
    </w:p>
    <w:p>
      <w:pPr>
        <w:pStyle w:val="18"/>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8"/>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w:t>
      </w:r>
      <w:r>
        <w:rPr>
          <w:rFonts w:hint="eastAsia" w:ascii="宋体" w:hAnsi="宋体" w:cs="宋体"/>
          <w:sz w:val="24"/>
          <w:lang w:val="en-US" w:eastAsia="zh-CN"/>
        </w:rPr>
        <w:t>3</w:t>
      </w:r>
      <w:r>
        <w:rPr>
          <w:rFonts w:hint="eastAsia" w:ascii="宋体" w:hAnsi="宋体" w:cs="宋体"/>
          <w:bCs/>
          <w:sz w:val="32"/>
          <w:szCs w:val="20"/>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591"/>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jc w:val="center"/>
              <w:rPr>
                <w:rFonts w:hint="eastAsia" w:ascii="宋体" w:hAnsi="宋体" w:cs="宋体"/>
                <w:sz w:val="24"/>
              </w:rPr>
            </w:pPr>
            <w:r>
              <w:rPr>
                <w:rFonts w:hint="eastAsia" w:ascii="宋体" w:hAnsi="宋体" w:cs="宋体"/>
                <w:sz w:val="24"/>
              </w:rPr>
              <w:t>序号</w:t>
            </w:r>
          </w:p>
        </w:tc>
        <w:tc>
          <w:tcPr>
            <w:tcW w:w="3591" w:type="dxa"/>
            <w:noWrap w:val="0"/>
            <w:vAlign w:val="top"/>
          </w:tcPr>
          <w:p>
            <w:pPr>
              <w:spacing w:line="360" w:lineRule="auto"/>
              <w:jc w:val="center"/>
              <w:rPr>
                <w:rFonts w:hint="eastAsia" w:ascii="宋体" w:hAnsi="宋体" w:cs="宋体"/>
                <w:sz w:val="24"/>
              </w:rPr>
            </w:pPr>
            <w:r>
              <w:rPr>
                <w:rFonts w:hint="eastAsia" w:ascii="宋体" w:hAnsi="宋体" w:cs="宋体"/>
                <w:sz w:val="24"/>
              </w:rPr>
              <w:t>遴选文件要求</w:t>
            </w:r>
          </w:p>
        </w:tc>
        <w:tc>
          <w:tcPr>
            <w:tcW w:w="1843" w:type="dxa"/>
            <w:noWrap w:val="0"/>
            <w:vAlign w:val="top"/>
          </w:tcPr>
          <w:p>
            <w:pPr>
              <w:spacing w:line="360" w:lineRule="auto"/>
              <w:ind w:left="-317" w:leftChars="-151" w:firstLine="434" w:firstLineChars="181"/>
              <w:rPr>
                <w:rFonts w:hint="eastAsia" w:ascii="宋体" w:hAnsi="宋体" w:cs="宋体"/>
                <w:sz w:val="24"/>
              </w:rPr>
            </w:pPr>
            <w:r>
              <w:rPr>
                <w:rFonts w:hint="eastAsia" w:ascii="宋体" w:hAnsi="宋体" w:cs="宋体"/>
                <w:sz w:val="24"/>
              </w:rPr>
              <w:t>遴选文件响应</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jc w:val="left"/>
        <w:rPr>
          <w:rFonts w:hint="eastAsia" w:ascii="宋体" w:hAnsi="宋体" w:cs="宋体"/>
        </w:rPr>
      </w:pPr>
    </w:p>
    <w:p>
      <w:pPr>
        <w:spacing w:line="360" w:lineRule="auto"/>
        <w:jc w:val="left"/>
        <w:rPr>
          <w:rFonts w:hint="eastAsia" w:ascii="宋体" w:hAnsi="宋体" w:cs="宋体"/>
        </w:rPr>
      </w:pPr>
    </w:p>
    <w:p>
      <w:pPr>
        <w:spacing w:line="360" w:lineRule="auto"/>
        <w:jc w:val="left"/>
        <w:rPr>
          <w:rFonts w:hint="eastAsia" w:ascii="宋体" w:hAnsi="宋体" w:cs="宋体"/>
        </w:rPr>
      </w:pPr>
      <w:r>
        <w:rPr>
          <w:rFonts w:hint="eastAsia" w:ascii="宋体" w:hAnsi="宋体" w:cs="宋体"/>
          <w:sz w:val="24"/>
        </w:rPr>
        <w:t>供应商代表签字：</w:t>
      </w:r>
      <w:r>
        <w:rPr>
          <w:rFonts w:hint="eastAsia" w:ascii="宋体" w:hAnsi="宋体" w:cs="宋体"/>
          <w:sz w:val="24"/>
          <w:u w:val="single"/>
        </w:rPr>
        <w:t xml:space="preserve">                 </w:t>
      </w:r>
      <w:r>
        <w:rPr>
          <w:rFonts w:hint="eastAsia" w:ascii="宋体" w:hAnsi="宋体" w:cs="宋体"/>
        </w:rPr>
        <w:t xml:space="preserve"> </w:t>
      </w:r>
    </w:p>
    <w:p>
      <w:pPr>
        <w:spacing w:line="360" w:lineRule="auto"/>
        <w:jc w:val="left"/>
        <w:rPr>
          <w:rFonts w:hint="eastAsia" w:ascii="宋体" w:hAnsi="宋体" w:cs="宋体"/>
        </w:rPr>
      </w:pPr>
    </w:p>
    <w:p>
      <w:pPr>
        <w:spacing w:line="360" w:lineRule="auto"/>
        <w:jc w:val="left"/>
        <w:rPr>
          <w:rFonts w:hint="eastAsia" w:ascii="宋体" w:hAnsi="宋体" w:cs="宋体"/>
          <w:u w:val="single"/>
        </w:rPr>
      </w:pPr>
      <w:r>
        <w:rPr>
          <w:rFonts w:hint="eastAsia" w:ascii="宋体" w:hAnsi="宋体" w:cs="宋体"/>
        </w:rPr>
        <w:t>公章：</w:t>
      </w:r>
      <w:r>
        <w:rPr>
          <w:rFonts w:hint="eastAsia" w:ascii="宋体" w:hAnsi="宋体" w:cs="宋体"/>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：信用中国查询结果截图（模板如下）：</w:t>
      </w:r>
    </w:p>
    <w:p>
      <w:pPr>
        <w:ind w:firstLine="2080" w:firstLineChars="6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：无行贿犯罪记录声明函（格式）</w:t>
      </w:r>
    </w:p>
    <w:p>
      <w:pPr>
        <w:ind w:firstLine="1760" w:firstLineChars="5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4F1D7"/>
    <w:multiLevelType w:val="singleLevel"/>
    <w:tmpl w:val="8694F1D7"/>
    <w:lvl w:ilvl="0" w:tentative="0">
      <w:start w:val="1"/>
      <w:numFmt w:val="chineseCounting"/>
      <w:suff w:val="nothing"/>
      <w:lvlText w:val="（%1）"/>
      <w:lvlJc w:val="left"/>
      <w:pPr>
        <w:ind w:left="-420" w:firstLine="420"/>
      </w:pPr>
      <w:rPr>
        <w:rFonts w:hint="eastAsia"/>
      </w:rPr>
    </w:lvl>
  </w:abstractNum>
  <w:abstractNum w:abstractNumId="1">
    <w:nsid w:val="9EBCCC30"/>
    <w:multiLevelType w:val="singleLevel"/>
    <w:tmpl w:val="9EBCCC30"/>
    <w:lvl w:ilvl="0" w:tentative="0">
      <w:start w:val="2"/>
      <w:numFmt w:val="decimal"/>
      <w:suff w:val="space"/>
      <w:lvlText w:val="%1）"/>
      <w:lvlJc w:val="left"/>
      <w:pPr>
        <w:ind w:left="61"/>
      </w:pPr>
    </w:lvl>
  </w:abstractNum>
  <w:abstractNum w:abstractNumId="2">
    <w:nsid w:val="005274C6"/>
    <w:multiLevelType w:val="multilevel"/>
    <w:tmpl w:val="005274C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9057BF"/>
    <w:multiLevelType w:val="multilevel"/>
    <w:tmpl w:val="0B9057BF"/>
    <w:lvl w:ilvl="0" w:tentative="0">
      <w:start w:val="1"/>
      <w:numFmt w:val="decimal"/>
      <w:lvlText w:val="%1."/>
      <w:lvlJc w:val="left"/>
      <w:pPr>
        <w:ind w:left="360" w:hanging="360"/>
      </w:pPr>
      <w:rPr>
        <w:rFonts w:hint="default"/>
        <w:color w:val="auto"/>
      </w:rPr>
    </w:lvl>
    <w:lvl w:ilvl="1" w:tentative="0">
      <w:start w:val="1"/>
      <w:numFmt w:val="decimal"/>
      <w:isLgl/>
      <w:lvlText w:val="%1.%2"/>
      <w:lvlJc w:val="left"/>
      <w:pPr>
        <w:ind w:left="735" w:hanging="37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abstractNum w:abstractNumId="6">
    <w:nsid w:val="18810C4B"/>
    <w:multiLevelType w:val="singleLevel"/>
    <w:tmpl w:val="18810C4B"/>
    <w:lvl w:ilvl="0" w:tentative="0">
      <w:start w:val="1"/>
      <w:numFmt w:val="decimal"/>
      <w:suff w:val="space"/>
      <w:lvlText w:val="%1）"/>
      <w:lvlJc w:val="left"/>
      <w:pPr>
        <w:ind w:left="61"/>
      </w:pPr>
    </w:lvl>
  </w:abstractNum>
  <w:abstractNum w:abstractNumId="7">
    <w:nsid w:val="1BF83C8C"/>
    <w:multiLevelType w:val="multilevel"/>
    <w:tmpl w:val="1BF83C8C"/>
    <w:lvl w:ilvl="0" w:tentative="0">
      <w:start w:val="1"/>
      <w:numFmt w:val="decimal"/>
      <w:lvlText w:val="%1."/>
      <w:lvlJc w:val="left"/>
      <w:pPr>
        <w:ind w:left="360" w:hanging="360"/>
      </w:pPr>
      <w:rPr>
        <w:rFonts w:hint="default"/>
      </w:rPr>
    </w:lvl>
    <w:lvl w:ilvl="1" w:tentative="0">
      <w:start w:val="1"/>
      <w:numFmt w:val="decimal"/>
      <w:isLgl/>
      <w:lvlText w:val="%1.%2"/>
      <w:lvlJc w:val="left"/>
      <w:pPr>
        <w:ind w:left="735" w:hanging="37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abstractNum w:abstractNumId="8">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777" w:hanging="567"/>
      </w:pPr>
    </w:lvl>
    <w:lvl w:ilvl="2" w:tentative="0">
      <w:start w:val="1"/>
      <w:numFmt w:val="decimal"/>
      <w:lvlText w:val="%1.%2.%3."/>
      <w:lvlJc w:val="left"/>
      <w:pPr>
        <w:ind w:left="112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344210FB"/>
    <w:multiLevelType w:val="multilevel"/>
    <w:tmpl w:val="344210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A5334F1"/>
    <w:multiLevelType w:val="multilevel"/>
    <w:tmpl w:val="3A5334F1"/>
    <w:lvl w:ilvl="0" w:tentative="0">
      <w:start w:val="1"/>
      <w:numFmt w:val="decimal"/>
      <w:lvlText w:val="%1."/>
      <w:lvlJc w:val="left"/>
      <w:pPr>
        <w:ind w:left="0" w:hanging="360"/>
      </w:pPr>
      <w:rPr>
        <w:rFonts w:hint="default"/>
      </w:rPr>
    </w:lvl>
    <w:lvl w:ilvl="1" w:tentative="0">
      <w:start w:val="1"/>
      <w:numFmt w:val="decimal"/>
      <w:isLgl/>
      <w:lvlText w:val="%1.%2"/>
      <w:lvlJc w:val="left"/>
      <w:pPr>
        <w:ind w:left="795" w:hanging="37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520" w:hanging="1080"/>
      </w:pPr>
      <w:rPr>
        <w:rFonts w:hint="default"/>
      </w:rPr>
    </w:lvl>
    <w:lvl w:ilvl="6" w:tentative="0">
      <w:start w:val="1"/>
      <w:numFmt w:val="decimal"/>
      <w:isLgl/>
      <w:lvlText w:val="%1.%2.%3.%4.%5.%6.%7"/>
      <w:lvlJc w:val="left"/>
      <w:pPr>
        <w:ind w:left="3240" w:hanging="1440"/>
      </w:pPr>
      <w:rPr>
        <w:rFonts w:hint="default"/>
      </w:rPr>
    </w:lvl>
    <w:lvl w:ilvl="7" w:tentative="0">
      <w:start w:val="1"/>
      <w:numFmt w:val="decimal"/>
      <w:isLgl/>
      <w:lvlText w:val="%1.%2.%3.%4.%5.%6.%7.%8"/>
      <w:lvlJc w:val="left"/>
      <w:pPr>
        <w:ind w:left="3600" w:hanging="1440"/>
      </w:pPr>
      <w:rPr>
        <w:rFonts w:hint="default"/>
      </w:rPr>
    </w:lvl>
    <w:lvl w:ilvl="8" w:tentative="0">
      <w:start w:val="1"/>
      <w:numFmt w:val="decimal"/>
      <w:isLgl/>
      <w:lvlText w:val="%1.%2.%3.%4.%5.%6.%7.%8.%9"/>
      <w:lvlJc w:val="left"/>
      <w:pPr>
        <w:ind w:left="4320" w:hanging="1800"/>
      </w:pPr>
      <w:rPr>
        <w:rFonts w:hint="default"/>
      </w:rPr>
    </w:lvl>
  </w:abstractNum>
  <w:abstractNum w:abstractNumId="12">
    <w:nsid w:val="7C9A770A"/>
    <w:multiLevelType w:val="singleLevel"/>
    <w:tmpl w:val="7C9A770A"/>
    <w:lvl w:ilvl="0" w:tentative="0">
      <w:start w:val="1"/>
      <w:numFmt w:val="decimal"/>
      <w:lvlText w:val="%1)"/>
      <w:lvlJc w:val="left"/>
      <w:pPr>
        <w:ind w:left="425" w:hanging="425"/>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2"/>
  </w:num>
  <w:num w:numId="6">
    <w:abstractNumId w:val="3"/>
  </w:num>
  <w:num w:numId="7">
    <w:abstractNumId w:val="2"/>
  </w:num>
  <w:num w:numId="8">
    <w:abstractNumId w:val="11"/>
  </w:num>
  <w:num w:numId="9">
    <w:abstractNumId w:val="0"/>
  </w:num>
  <w:num w:numId="10">
    <w:abstractNumId w:val="5"/>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10E72"/>
    <w:rsid w:val="02310E72"/>
    <w:rsid w:val="07965F4E"/>
    <w:rsid w:val="08BB56A0"/>
    <w:rsid w:val="0D0C486E"/>
    <w:rsid w:val="12FA7A71"/>
    <w:rsid w:val="134A0904"/>
    <w:rsid w:val="1AFB6853"/>
    <w:rsid w:val="366E3376"/>
    <w:rsid w:val="4C6B40F4"/>
    <w:rsid w:val="53346597"/>
    <w:rsid w:val="67B36BB6"/>
    <w:rsid w:val="784B027F"/>
    <w:rsid w:val="7E61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jc w:val="center"/>
    </w:pPr>
    <w:rPr>
      <w:rFonts w:ascii="楷体_GB2312" w:eastAsia="楷体_GB2312"/>
      <w:b/>
      <w:sz w:val="72"/>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0"/>
    <w:rPr>
      <w:color w:val="0000FF"/>
      <w:u w:val="single"/>
    </w:rPr>
  </w:style>
  <w:style w:type="paragraph" w:customStyle="1" w:styleId="14">
    <w:name w:val="ITB-0"/>
    <w:basedOn w:val="1"/>
    <w:qFormat/>
    <w:uiPriority w:val="0"/>
    <w:pPr>
      <w:adjustRightInd w:val="0"/>
      <w:jc w:val="center"/>
    </w:pPr>
    <w:rPr>
      <w:b/>
      <w:sz w:val="32"/>
      <w:szCs w:val="20"/>
    </w:rPr>
  </w:style>
  <w:style w:type="paragraph" w:customStyle="1" w:styleId="1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6">
    <w:name w:val="ifb-1"/>
    <w:basedOn w:val="1"/>
    <w:qFormat/>
    <w:uiPriority w:val="0"/>
    <w:pPr>
      <w:ind w:left="420" w:hanging="420"/>
    </w:pPr>
    <w:rPr>
      <w:rFonts w:ascii="楷体_GB2312" w:eastAsia="楷体_GB2312"/>
      <w:szCs w:val="20"/>
    </w:rPr>
  </w:style>
  <w:style w:type="paragraph" w:customStyle="1" w:styleId="17">
    <w:name w:val="列出段落1"/>
    <w:basedOn w:val="1"/>
    <w:qFormat/>
    <w:uiPriority w:val="0"/>
    <w:pPr>
      <w:spacing w:line="300" w:lineRule="auto"/>
      <w:ind w:firstLine="420" w:firstLineChars="200"/>
    </w:pPr>
    <w:rPr>
      <w:rFonts w:ascii="Calibri" w:hAnsi="Calibri" w:cs="Times New Roman"/>
      <w:szCs w:val="21"/>
    </w:rPr>
  </w:style>
  <w:style w:type="paragraph" w:customStyle="1" w:styleId="18">
    <w:name w:val="att"/>
    <w:basedOn w:val="1"/>
    <w:qFormat/>
    <w:uiPriority w:val="0"/>
    <w:pPr>
      <w:spacing w:line="360" w:lineRule="auto"/>
    </w:pPr>
    <w:rPr>
      <w:rFonts w:eastAsia="楷体_GB2312"/>
      <w:sz w:val="24"/>
      <w:szCs w:val="2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2021-08-05T02:15:00Z</dcterms:created>
  <dc:creator>user</dc:creator>
  <cp:lastModifiedBy>共享账号请勿修改密码</cp:lastModifiedBy>
  <dcterms:modified xsi:type="dcterms:W3CDTF">2021-08-13T02:58:49Z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6E044EB71FEF4B3AB1282A2E108DC46E</vt:lpwstr>
  </property>
</Properties>
</file>