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04" w:lineRule="atLeast"/>
        <w:jc w:val="center"/>
        <w:outlineLvl w:val="0"/>
        <w:rPr>
          <w:rFonts w:hint="eastAsia" w:ascii="inherit" w:hAnsi="inherit" w:eastAsia="微软雅黑" w:cs="宋体"/>
          <w:kern w:val="36"/>
          <w:sz w:val="28"/>
          <w:szCs w:val="28"/>
        </w:rPr>
      </w:pPr>
      <w:r>
        <w:rPr>
          <w:rFonts w:ascii="inherit" w:hAnsi="inherit" w:eastAsia="微软雅黑" w:cs="宋体"/>
          <w:kern w:val="36"/>
          <w:sz w:val="28"/>
          <w:szCs w:val="28"/>
        </w:rPr>
        <w:t>上海市儿童医院</w:t>
      </w:r>
      <w:r>
        <w:rPr>
          <w:rFonts w:hint="eastAsia" w:ascii="inherit" w:hAnsi="inherit" w:eastAsia="微软雅黑" w:cs="宋体"/>
          <w:kern w:val="36"/>
          <w:sz w:val="28"/>
          <w:szCs w:val="28"/>
        </w:rPr>
        <w:t>“地中海贫血基因检测（PCR反向点杂交）”</w:t>
      </w:r>
    </w:p>
    <w:p>
      <w:pPr>
        <w:widowControl/>
        <w:wordWrap w:val="0"/>
        <w:spacing w:line="504" w:lineRule="atLeast"/>
        <w:jc w:val="center"/>
        <w:outlineLvl w:val="0"/>
        <w:rPr>
          <w:rFonts w:hint="eastAsia" w:ascii="inherit" w:hAnsi="inherit" w:eastAsia="微软雅黑" w:cs="宋体"/>
          <w:kern w:val="36"/>
          <w:sz w:val="28"/>
          <w:szCs w:val="28"/>
        </w:rPr>
      </w:pPr>
      <w:r>
        <w:rPr>
          <w:rFonts w:hint="eastAsia" w:ascii="inherit" w:hAnsi="inherit" w:eastAsia="微软雅黑" w:cs="宋体"/>
          <w:kern w:val="36"/>
          <w:sz w:val="28"/>
          <w:szCs w:val="28"/>
        </w:rPr>
        <w:t>试剂</w:t>
      </w:r>
      <w:r>
        <w:rPr>
          <w:rFonts w:ascii="inherit" w:hAnsi="inherit" w:eastAsia="微软雅黑" w:cs="宋体"/>
          <w:kern w:val="36"/>
          <w:sz w:val="28"/>
          <w:szCs w:val="28"/>
        </w:rPr>
        <w:t>供应商遴选</w:t>
      </w:r>
      <w:r>
        <w:rPr>
          <w:rFonts w:hint="eastAsia" w:ascii="inherit" w:hAnsi="inherit" w:eastAsia="微软雅黑" w:cs="宋体"/>
          <w:kern w:val="36"/>
          <w:sz w:val="28"/>
          <w:szCs w:val="28"/>
        </w:rPr>
        <w:t>文件</w:t>
      </w:r>
    </w:p>
    <w:p>
      <w:pPr>
        <w:widowControl/>
        <w:spacing w:line="504" w:lineRule="atLeast"/>
        <w:jc w:val="center"/>
        <w:outlineLvl w:val="0"/>
        <w:rPr>
          <w:rFonts w:hint="eastAsia" w:ascii="inherit" w:hAnsi="inherit" w:eastAsia="微软雅黑" w:cs="宋体"/>
          <w:kern w:val="36"/>
          <w:sz w:val="28"/>
          <w:szCs w:val="28"/>
        </w:rPr>
      </w:pPr>
      <w:r>
        <w:rPr>
          <w:rFonts w:hint="eastAsia" w:ascii="inherit" w:hAnsi="inherit" w:eastAsia="微软雅黑" w:cs="宋体"/>
          <w:kern w:val="36"/>
          <w:sz w:val="28"/>
          <w:szCs w:val="28"/>
        </w:rPr>
        <w:t>遴选编号：2021-ETLXSJ-003</w:t>
      </w:r>
    </w:p>
    <w:p>
      <w:pPr>
        <w:widowControl/>
        <w:spacing w:before="168" w:after="168"/>
        <w:ind w:firstLine="480" w:firstLineChars="200"/>
        <w:jc w:val="left"/>
        <w:rPr>
          <w:rFonts w:ascii="宋体" w:hAnsi="宋体" w:eastAsia="宋体" w:cs="宋体"/>
          <w:kern w:val="0"/>
          <w:sz w:val="24"/>
          <w:szCs w:val="24"/>
        </w:rPr>
      </w:pPr>
      <w:r>
        <w:rPr>
          <w:rFonts w:ascii="宋体" w:hAnsi="宋体" w:eastAsia="宋体" w:cs="宋体"/>
          <w:color w:val="000000"/>
          <w:kern w:val="0"/>
          <w:sz w:val="24"/>
          <w:szCs w:val="24"/>
        </w:rPr>
        <w:t>上海市儿童医院</w:t>
      </w:r>
      <w:r>
        <w:rPr>
          <w:rFonts w:hint="eastAsia" w:ascii="宋体" w:hAnsi="宋体" w:eastAsia="宋体" w:cs="宋体"/>
          <w:color w:val="000000"/>
          <w:kern w:val="0"/>
          <w:sz w:val="24"/>
          <w:szCs w:val="24"/>
        </w:rPr>
        <w:t>“地中海贫血基因检测</w:t>
      </w:r>
      <w:r>
        <w:rPr>
          <w:rFonts w:hint="eastAsia" w:ascii="宋体" w:hAnsi="宋体" w:eastAsia="宋体" w:cs="宋体"/>
          <w:kern w:val="0"/>
          <w:sz w:val="24"/>
          <w:szCs w:val="24"/>
        </w:rPr>
        <w:t>（</w:t>
      </w:r>
      <w:r>
        <w:rPr>
          <w:rFonts w:ascii="宋体" w:hAnsi="宋体" w:eastAsia="宋体" w:cs="宋体"/>
          <w:color w:val="000000"/>
          <w:kern w:val="0"/>
          <w:sz w:val="24"/>
          <w:szCs w:val="24"/>
        </w:rPr>
        <w:t>PCR反向点杂交</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”试剂公开征询供应商，欢迎</w:t>
      </w:r>
      <w:r>
        <w:rPr>
          <w:rFonts w:hint="eastAsia" w:ascii="宋体" w:hAnsi="宋体" w:eastAsia="宋体" w:cs="宋体"/>
          <w:kern w:val="0"/>
          <w:sz w:val="24"/>
          <w:szCs w:val="24"/>
        </w:rPr>
        <w:t>合格供应商前来参加遴选。届时我们将选出合适的产品供应商作为新供应商进行日常采购。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一、适用情况：用于临床、检验、病理、筛查等医用试剂。</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二、项目名称：地中海贫血基因检测</w:t>
      </w:r>
      <w:r>
        <w:rPr>
          <w:rFonts w:hint="eastAsia" w:ascii="宋体" w:hAnsi="宋体" w:eastAsia="宋体" w:cs="宋体"/>
          <w:kern w:val="0"/>
          <w:sz w:val="24"/>
          <w:szCs w:val="24"/>
        </w:rPr>
        <w:t>（</w:t>
      </w:r>
      <w:r>
        <w:rPr>
          <w:rFonts w:ascii="宋体" w:hAnsi="宋体" w:eastAsia="宋体" w:cs="宋体"/>
          <w:color w:val="000000"/>
          <w:kern w:val="0"/>
          <w:sz w:val="24"/>
          <w:szCs w:val="24"/>
        </w:rPr>
        <w:t>PCR反向点杂交</w:t>
      </w:r>
      <w:r>
        <w:rPr>
          <w:rFonts w:hint="eastAsia" w:ascii="宋体" w:hAnsi="宋体" w:eastAsia="宋体" w:cs="宋体"/>
          <w:kern w:val="0"/>
          <w:sz w:val="24"/>
          <w:szCs w:val="24"/>
        </w:rPr>
        <w:t>）</w:t>
      </w: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三、技术要求：</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9" w:type="pct"/>
            <w:tcBorders>
              <w:bottom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09" w:type="pct"/>
            <w:shd w:val="clear" w:color="000000" w:fill="auto"/>
            <w:noWrap/>
            <w:vAlign w:val="center"/>
          </w:tcPr>
          <w:p>
            <w:pPr>
              <w:rPr>
                <w:rFonts w:cs="宋体" w:asciiTheme="minorEastAsia" w:hAnsiTheme="minorEastAsia"/>
                <w:sz w:val="24"/>
                <w:szCs w:val="24"/>
              </w:rPr>
            </w:pPr>
            <w:r>
              <w:rPr>
                <w:rFonts w:hint="eastAsia" w:ascii="宋体" w:hAnsi="宋体" w:eastAsia="宋体" w:cs="宋体"/>
                <w:kern w:val="0"/>
                <w:sz w:val="24"/>
                <w:szCs w:val="24"/>
              </w:rPr>
              <w:t>地中海贫血基因</w:t>
            </w:r>
            <w:r>
              <w:rPr>
                <w:rFonts w:hint="eastAsia" w:ascii="宋体" w:hAnsi="宋体" w:eastAsia="宋体" w:cs="宋体"/>
                <w:color w:val="000000"/>
                <w:kern w:val="0"/>
                <w:sz w:val="24"/>
                <w:szCs w:val="24"/>
              </w:rPr>
              <w:t>检测</w:t>
            </w:r>
            <w:r>
              <w:rPr>
                <w:rFonts w:hint="eastAsia" w:ascii="宋体" w:hAnsi="宋体" w:eastAsia="宋体" w:cs="宋体"/>
                <w:kern w:val="0"/>
                <w:sz w:val="24"/>
                <w:szCs w:val="24"/>
              </w:rPr>
              <w:t>（</w:t>
            </w:r>
            <w:r>
              <w:rPr>
                <w:rFonts w:ascii="宋体" w:hAnsi="宋体" w:eastAsia="宋体" w:cs="宋体"/>
                <w:color w:val="000000"/>
                <w:kern w:val="0"/>
                <w:sz w:val="24"/>
                <w:szCs w:val="24"/>
              </w:rPr>
              <w:t>PCR反向点杂交</w:t>
            </w:r>
            <w:r>
              <w:rPr>
                <w:rFonts w:hint="eastAsia" w:ascii="宋体" w:hAnsi="宋体" w:eastAsia="宋体" w:cs="宋体"/>
                <w:kern w:val="0"/>
                <w:sz w:val="24"/>
                <w:szCs w:val="24"/>
              </w:rPr>
              <w:t>）</w:t>
            </w:r>
          </w:p>
        </w:tc>
        <w:tc>
          <w:tcPr>
            <w:tcW w:w="3890" w:type="pct"/>
            <w:shd w:val="clear" w:color="000000" w:fill="auto"/>
            <w:noWrap/>
            <w:vAlign w:val="center"/>
          </w:tcPr>
          <w:p>
            <w:pPr>
              <w:pStyle w:val="23"/>
              <w:numPr>
                <w:ilvl w:val="0"/>
                <w:numId w:val="1"/>
              </w:numPr>
              <w:spacing w:line="360" w:lineRule="auto"/>
              <w:ind w:firstLineChars="0"/>
              <w:rPr>
                <w:rFonts w:ascii="宋体" w:hAnsi="宋体" w:eastAsia="宋体" w:cs="宋体"/>
              </w:rPr>
            </w:pPr>
            <w:r>
              <w:rPr>
                <w:rFonts w:hint="eastAsia" w:ascii="宋体" w:hAnsi="宋体" w:eastAsia="宋体" w:cs="宋体"/>
              </w:rPr>
              <w:t>检测方法：</w:t>
            </w:r>
            <w:r>
              <w:rPr>
                <w:rFonts w:ascii="宋体" w:hAnsi="宋体" w:eastAsia="宋体" w:cs="宋体"/>
                <w:color w:val="000000"/>
                <w:kern w:val="0"/>
                <w:sz w:val="24"/>
                <w:szCs w:val="24"/>
              </w:rPr>
              <w:t>PCR</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反向点杂交法</w:t>
            </w:r>
            <w:r>
              <w:rPr>
                <w:rFonts w:hint="eastAsia" w:ascii="Times New Roman" w:hAnsi="Times New Roman" w:cs="Times New Roman"/>
              </w:rPr>
              <w:t>。对实验室设备依赖性低，临床可及性好，是《α-地中海贫血的临床实践指南》和《β-地中海贫血的临床实践指南》所推荐的一线临床技术；</w:t>
            </w:r>
          </w:p>
          <w:p>
            <w:pPr>
              <w:pStyle w:val="23"/>
              <w:numPr>
                <w:ilvl w:val="0"/>
                <w:numId w:val="1"/>
              </w:numPr>
              <w:spacing w:line="360" w:lineRule="auto"/>
              <w:ind w:firstLineChars="0"/>
              <w:rPr>
                <w:rFonts w:ascii="宋体" w:hAnsi="宋体"/>
                <w:szCs w:val="20"/>
              </w:rPr>
            </w:pPr>
            <w:r>
              <w:rPr>
                <w:rFonts w:hint="eastAsia" w:ascii="宋体" w:hAnsi="宋体" w:cs="宋体"/>
              </w:rPr>
              <w:t>预期用途：</w:t>
            </w:r>
            <w:r>
              <w:rPr>
                <w:rFonts w:hint="eastAsia" w:ascii="宋体" w:hAnsi="宋体"/>
                <w:szCs w:val="20"/>
              </w:rPr>
              <w:t>体外定性检测人全血基因D</w:t>
            </w:r>
            <w:r>
              <w:rPr>
                <w:rFonts w:ascii="宋体" w:hAnsi="宋体"/>
                <w:szCs w:val="20"/>
              </w:rPr>
              <w:t>NA样本</w:t>
            </w:r>
            <w:r>
              <w:rPr>
                <w:rFonts w:hint="eastAsia" w:ascii="宋体" w:hAnsi="宋体"/>
                <w:szCs w:val="20"/>
              </w:rPr>
              <w:t>，</w:t>
            </w:r>
            <w:r>
              <w:rPr>
                <w:rFonts w:ascii="宋体" w:hAnsi="宋体"/>
                <w:szCs w:val="20"/>
              </w:rPr>
              <w:t>能够检出中国人常见的</w:t>
            </w:r>
            <w:r>
              <w:rPr>
                <w:rFonts w:hint="eastAsia" w:ascii="宋体" w:hAnsi="宋体"/>
                <w:szCs w:val="20"/>
              </w:rPr>
              <w:t>3种缺失型</w:t>
            </w:r>
            <w:r>
              <w:rPr>
                <w:rFonts w:ascii="Symbol" w:hAnsi="Symbol"/>
                <w:szCs w:val="20"/>
              </w:rPr>
              <w:t></w:t>
            </w:r>
            <w:r>
              <w:rPr>
                <w:rFonts w:hint="eastAsia" w:ascii="宋体" w:hAnsi="宋体"/>
                <w:szCs w:val="20"/>
              </w:rPr>
              <w:t>-地中海贫血基因突变、3种非缺失型</w:t>
            </w:r>
            <w:r>
              <w:rPr>
                <w:rFonts w:ascii="Symbol" w:hAnsi="Symbol"/>
                <w:szCs w:val="20"/>
              </w:rPr>
              <w:t></w:t>
            </w:r>
            <w:r>
              <w:rPr>
                <w:rFonts w:hint="eastAsia" w:ascii="宋体" w:hAnsi="宋体"/>
                <w:szCs w:val="20"/>
              </w:rPr>
              <w:t>-地中海贫血基因突变和1</w:t>
            </w:r>
            <w:r>
              <w:rPr>
                <w:rFonts w:ascii="宋体" w:hAnsi="宋体"/>
                <w:szCs w:val="20"/>
              </w:rPr>
              <w:t>7种</w:t>
            </w:r>
            <w:r>
              <w:rPr>
                <w:rFonts w:ascii="Symbol" w:hAnsi="Symbol"/>
                <w:szCs w:val="20"/>
              </w:rPr>
              <w:t></w:t>
            </w:r>
            <w:r>
              <w:rPr>
                <w:rFonts w:hint="eastAsia" w:ascii="宋体" w:hAnsi="宋体"/>
                <w:szCs w:val="20"/>
              </w:rPr>
              <w:t>-</w:t>
            </w:r>
            <w:r>
              <w:rPr>
                <w:rFonts w:ascii="宋体" w:hAnsi="宋体"/>
                <w:szCs w:val="20"/>
              </w:rPr>
              <w:t>地中海贫血基因突变</w:t>
            </w:r>
            <w:r>
              <w:rPr>
                <w:rFonts w:hint="eastAsia" w:ascii="宋体" w:hAnsi="宋体"/>
                <w:szCs w:val="20"/>
              </w:rPr>
              <w:t>。</w:t>
            </w:r>
          </w:p>
          <w:p>
            <w:pPr>
              <w:pStyle w:val="23"/>
              <w:numPr>
                <w:ilvl w:val="0"/>
                <w:numId w:val="1"/>
              </w:numPr>
              <w:spacing w:line="360" w:lineRule="auto"/>
              <w:ind w:firstLineChars="0"/>
              <w:rPr>
                <w:rFonts w:ascii="宋体" w:hAnsi="宋体"/>
                <w:szCs w:val="20"/>
              </w:rPr>
            </w:pPr>
            <w:r>
              <w:rPr>
                <w:rFonts w:hint="eastAsia" w:ascii="宋体" w:hAnsi="宋体"/>
                <w:szCs w:val="20"/>
              </w:rPr>
              <w:t>试剂获国家药品监督管理局审批通过，有三类医疗器械注册证书；</w:t>
            </w:r>
          </w:p>
          <w:p>
            <w:pPr>
              <w:pStyle w:val="23"/>
              <w:numPr>
                <w:ilvl w:val="0"/>
                <w:numId w:val="1"/>
              </w:numPr>
              <w:spacing w:line="360" w:lineRule="auto"/>
              <w:ind w:firstLineChars="0"/>
              <w:rPr>
                <w:rFonts w:ascii="宋体" w:hAnsi="宋体"/>
                <w:szCs w:val="20"/>
              </w:rPr>
            </w:pPr>
            <w:r>
              <w:rPr>
                <w:rFonts w:hint="eastAsia" w:ascii="宋体" w:hAnsi="宋体"/>
                <w:szCs w:val="20"/>
              </w:rPr>
              <w:t xml:space="preserve">检测范围：采用同一种技术方法，检测涵盖α-缺失、α-非缺失、β-突变； </w:t>
            </w:r>
          </w:p>
          <w:p>
            <w:pPr>
              <w:pStyle w:val="23"/>
              <w:numPr>
                <w:ilvl w:val="0"/>
                <w:numId w:val="1"/>
              </w:numPr>
              <w:spacing w:line="360" w:lineRule="auto"/>
              <w:ind w:firstLineChars="0"/>
              <w:rPr>
                <w:rFonts w:ascii="宋体" w:hAnsi="宋体"/>
                <w:szCs w:val="20"/>
              </w:rPr>
            </w:pPr>
            <w:r>
              <w:rPr>
                <w:rFonts w:hint="eastAsia" w:ascii="宋体" w:hAnsi="宋体"/>
                <w:szCs w:val="20"/>
              </w:rPr>
              <w:t>检测位点：一次试验可实现23种常</w:t>
            </w:r>
            <w:bookmarkStart w:id="0" w:name="_GoBack"/>
            <w:bookmarkEnd w:id="0"/>
            <w:r>
              <w:rPr>
                <w:rFonts w:hint="eastAsia" w:ascii="宋体" w:hAnsi="宋体"/>
                <w:szCs w:val="20"/>
              </w:rPr>
              <w:t xml:space="preserve">见地贫基因型检测。符合《地中海贫血防控试点项目技术服务规范》（国卫妇幼出防便函 [2014] 106号）和《地中海贫血筛查实验室、基因检测实验室与产前诊断中心设置和管理指南》（国卫办妇幼函 [2018] 683号）规定的3种缺失型α-地贫基因型（--SEA、-α3.7、-α4.2）、3种非缺失型α-地贫基因型（αCS、αQS、αWS）和17种β-地贫基因型（41-42M、17M、654M、71-72M、-28M、βEM、43M、14-15M、-30M、-32M、-29M、CapM、31M、IVS-I-5M、IntM、IVS-I-1M、27-28M）； </w:t>
            </w:r>
          </w:p>
          <w:p>
            <w:pPr>
              <w:pStyle w:val="23"/>
              <w:numPr>
                <w:ilvl w:val="0"/>
                <w:numId w:val="1"/>
              </w:numPr>
              <w:spacing w:line="360" w:lineRule="auto"/>
              <w:ind w:firstLineChars="0"/>
              <w:rPr>
                <w:rFonts w:ascii="宋体" w:hAnsi="宋体"/>
                <w:szCs w:val="20"/>
              </w:rPr>
            </w:pPr>
            <w:r>
              <w:rPr>
                <w:rFonts w:hint="eastAsia" w:ascii="Times New Roman" w:hAnsi="Times New Roman" w:cs="Times New Roman"/>
              </w:rPr>
              <w:t>检测性能：</w:t>
            </w:r>
          </w:p>
          <w:p>
            <w:pPr>
              <w:pStyle w:val="23"/>
              <w:numPr>
                <w:ilvl w:val="0"/>
                <w:numId w:val="2"/>
              </w:numPr>
              <w:spacing w:line="360" w:lineRule="auto"/>
              <w:ind w:firstLineChars="0"/>
              <w:rPr>
                <w:rFonts w:ascii="宋体" w:hAnsi="宋体"/>
                <w:szCs w:val="20"/>
              </w:rPr>
            </w:pPr>
            <w:r>
              <w:rPr>
                <w:rFonts w:hint="eastAsia" w:ascii="宋体" w:hAnsi="宋体"/>
                <w:szCs w:val="20"/>
              </w:rPr>
              <w:t>灵敏度：试剂最低检测限10ng/uL，PCR扩增加样量≤5uL；</w:t>
            </w:r>
          </w:p>
          <w:p>
            <w:pPr>
              <w:pStyle w:val="23"/>
              <w:numPr>
                <w:ilvl w:val="0"/>
                <w:numId w:val="2"/>
              </w:numPr>
              <w:spacing w:line="360" w:lineRule="auto"/>
              <w:ind w:firstLineChars="0"/>
              <w:rPr>
                <w:rFonts w:ascii="宋体" w:hAnsi="宋体"/>
                <w:szCs w:val="20"/>
              </w:rPr>
            </w:pPr>
            <w:r>
              <w:rPr>
                <w:rFonts w:hint="eastAsia" w:ascii="宋体" w:hAnsi="宋体"/>
                <w:szCs w:val="20"/>
              </w:rPr>
              <w:t>准确性：试剂检测标准品/临床样本阳性符合率和阴性符合率均为100%；</w:t>
            </w:r>
          </w:p>
          <w:p>
            <w:pPr>
              <w:pStyle w:val="23"/>
              <w:numPr>
                <w:ilvl w:val="0"/>
                <w:numId w:val="2"/>
              </w:numPr>
              <w:spacing w:line="360" w:lineRule="auto"/>
              <w:ind w:firstLineChars="0"/>
              <w:rPr>
                <w:rFonts w:ascii="宋体" w:hAnsi="宋体"/>
                <w:szCs w:val="20"/>
              </w:rPr>
            </w:pPr>
            <w:r>
              <w:rPr>
                <w:rFonts w:hint="eastAsia" w:ascii="宋体" w:hAnsi="宋体"/>
                <w:szCs w:val="20"/>
              </w:rPr>
              <w:t>特异性：试剂检测特异性好，EDTA和枸橼酸钠抗凝对检测试验无干扰；溶血、脂血、黄疸样本不影响检测结果；与其他基因突变型和异种DNA无交叉反应；；</w:t>
            </w:r>
          </w:p>
          <w:p>
            <w:pPr>
              <w:pStyle w:val="23"/>
              <w:numPr>
                <w:ilvl w:val="0"/>
                <w:numId w:val="2"/>
              </w:numPr>
              <w:spacing w:line="360" w:lineRule="auto"/>
              <w:ind w:firstLineChars="0"/>
              <w:rPr>
                <w:rFonts w:ascii="宋体" w:hAnsi="宋体"/>
                <w:szCs w:val="20"/>
              </w:rPr>
            </w:pPr>
            <w:r>
              <w:rPr>
                <w:rFonts w:hint="eastAsia" w:ascii="宋体" w:hAnsi="宋体"/>
                <w:szCs w:val="20"/>
              </w:rPr>
              <w:t>稳定性：试剂有高温储存、反复冻融、常温运输等稳定试验证明试剂在20-25℃条件下储运7天不影响检测性能；</w:t>
            </w:r>
          </w:p>
          <w:p>
            <w:pPr>
              <w:pStyle w:val="23"/>
              <w:numPr>
                <w:ilvl w:val="0"/>
                <w:numId w:val="2"/>
              </w:numPr>
              <w:spacing w:line="360" w:lineRule="auto"/>
              <w:ind w:firstLineChars="0"/>
              <w:rPr>
                <w:rFonts w:ascii="宋体" w:hAnsi="宋体"/>
                <w:szCs w:val="20"/>
              </w:rPr>
            </w:pPr>
            <w:r>
              <w:rPr>
                <w:rFonts w:hint="eastAsia" w:ascii="宋体" w:hAnsi="宋体"/>
                <w:szCs w:val="20"/>
              </w:rPr>
              <w:t>重复性：不同批次试剂，不同浓度，不同人在不同时间，不同试验条件下检测多种基因型样本能多次重复稳定检测出相应的地贫基因型，且结果显色均一、检测准确一致；</w:t>
            </w:r>
          </w:p>
          <w:p>
            <w:pPr>
              <w:pStyle w:val="23"/>
              <w:numPr>
                <w:ilvl w:val="0"/>
                <w:numId w:val="2"/>
              </w:numPr>
              <w:spacing w:line="360" w:lineRule="auto"/>
              <w:ind w:firstLineChars="0"/>
              <w:rPr>
                <w:rFonts w:ascii="宋体" w:hAnsi="宋体"/>
                <w:szCs w:val="20"/>
              </w:rPr>
            </w:pPr>
            <w:r>
              <w:rPr>
                <w:rFonts w:hint="eastAsia" w:ascii="宋体" w:hAnsi="宋体"/>
                <w:szCs w:val="20"/>
              </w:rPr>
              <w:t>通用性：不同批号试剂盒中各组分可以互换使用；</w:t>
            </w:r>
          </w:p>
          <w:p>
            <w:pPr>
              <w:pStyle w:val="23"/>
              <w:numPr>
                <w:ilvl w:val="0"/>
                <w:numId w:val="2"/>
              </w:numPr>
              <w:spacing w:line="360" w:lineRule="auto"/>
              <w:ind w:firstLineChars="0"/>
              <w:rPr>
                <w:rFonts w:ascii="宋体" w:hAnsi="宋体"/>
                <w:szCs w:val="20"/>
              </w:rPr>
            </w:pPr>
            <w:r>
              <w:rPr>
                <w:rFonts w:hint="eastAsia" w:ascii="宋体" w:hAnsi="宋体"/>
                <w:szCs w:val="20"/>
              </w:rPr>
              <w:t>防污染：试剂设有UNG酶防污染体系；</w:t>
            </w:r>
          </w:p>
          <w:p>
            <w:pPr>
              <w:pStyle w:val="23"/>
              <w:numPr>
                <w:ilvl w:val="0"/>
                <w:numId w:val="1"/>
              </w:numPr>
              <w:spacing w:line="360" w:lineRule="auto"/>
              <w:ind w:firstLineChars="0"/>
              <w:rPr>
                <w:rFonts w:ascii="宋体" w:hAnsi="宋体"/>
                <w:szCs w:val="20"/>
              </w:rPr>
            </w:pPr>
            <w:r>
              <w:rPr>
                <w:rFonts w:hint="eastAsia" w:ascii="宋体" w:hAnsi="宋体"/>
                <w:szCs w:val="20"/>
              </w:rPr>
              <w:t>使用便利性：单管单人份包装，试剂为已分装完成可直接加样进行PCR扩增的预分装试剂，无需再人工分装及添加酶等其他成分；</w:t>
            </w:r>
          </w:p>
          <w:p>
            <w:pPr>
              <w:pStyle w:val="23"/>
              <w:numPr>
                <w:ilvl w:val="0"/>
                <w:numId w:val="1"/>
              </w:numPr>
              <w:spacing w:line="360" w:lineRule="auto"/>
              <w:ind w:firstLineChars="0"/>
              <w:rPr>
                <w:rFonts w:ascii="宋体" w:hAnsi="宋体"/>
                <w:szCs w:val="20"/>
              </w:rPr>
            </w:pPr>
            <w:r>
              <w:rPr>
                <w:rFonts w:hint="eastAsia" w:ascii="宋体" w:hAnsi="宋体"/>
                <w:szCs w:val="20"/>
              </w:rPr>
              <w:t>结果判读：膜条可以编号标记，且已标注基因型，可直接辩读出突变型别，无需对照判读表；</w:t>
            </w:r>
          </w:p>
          <w:p>
            <w:pPr>
              <w:pStyle w:val="23"/>
              <w:numPr>
                <w:ilvl w:val="0"/>
                <w:numId w:val="1"/>
              </w:numPr>
              <w:spacing w:line="360" w:lineRule="auto"/>
              <w:ind w:firstLineChars="0"/>
              <w:rPr>
                <w:rFonts w:ascii="宋体" w:hAnsi="宋体"/>
                <w:szCs w:val="20"/>
              </w:rPr>
            </w:pPr>
            <w:r>
              <w:rPr>
                <w:rFonts w:hint="eastAsia" w:ascii="宋体" w:hAnsi="宋体"/>
                <w:szCs w:val="20"/>
              </w:rPr>
              <w:t>正常对照：膜条上设有9个正常对照位点，可区分15种常见地贫基因型纯合与杂合突变；</w:t>
            </w:r>
          </w:p>
          <w:p>
            <w:pPr>
              <w:pStyle w:val="23"/>
              <w:numPr>
                <w:ilvl w:val="0"/>
                <w:numId w:val="1"/>
              </w:numPr>
              <w:spacing w:line="360" w:lineRule="auto"/>
              <w:ind w:firstLineChars="0"/>
              <w:rPr>
                <w:rFonts w:ascii="宋体" w:hAnsi="宋体"/>
              </w:rPr>
            </w:pPr>
            <w:r>
              <w:rPr>
                <w:rFonts w:ascii="Times New Roman" w:hAnsi="Times New Roman" w:cs="Times New Roman"/>
              </w:rPr>
              <w:t>适配</w:t>
            </w:r>
            <w:r>
              <w:rPr>
                <w:rFonts w:hint="eastAsia" w:ascii="Times New Roman" w:hAnsi="Times New Roman" w:cs="Times New Roman"/>
              </w:rPr>
              <w:t>仪器：P</w:t>
            </w:r>
            <w:r>
              <w:rPr>
                <w:rFonts w:ascii="Times New Roman" w:hAnsi="Times New Roman" w:cs="Times New Roman"/>
              </w:rPr>
              <w:t>CR仪</w:t>
            </w:r>
            <w:r>
              <w:rPr>
                <w:rFonts w:hint="eastAsia" w:ascii="Times New Roman" w:hAnsi="Times New Roman" w:cs="Times New Roman"/>
              </w:rPr>
              <w:t>，</w:t>
            </w:r>
            <w:r>
              <w:rPr>
                <w:rFonts w:ascii="Times New Roman" w:hAnsi="Times New Roman" w:cs="Times New Roman"/>
              </w:rPr>
              <w:t>恒温杂交仪</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000" w:type="pct"/>
            <w:gridSpan w:val="2"/>
            <w:shd w:val="clear" w:color="000000" w:fill="auto"/>
            <w:noWrap/>
            <w:vAlign w:val="center"/>
          </w:tcPr>
          <w:p>
            <w:pPr>
              <w:rPr>
                <w:rFonts w:asciiTheme="minorEastAsia" w:hAnsiTheme="minorEastAsia"/>
                <w:sz w:val="24"/>
                <w:szCs w:val="24"/>
              </w:rPr>
            </w:pPr>
            <w:r>
              <w:rPr>
                <w:rFonts w:hint="eastAsia" w:asciiTheme="minorEastAsia" w:hAnsiTheme="minorEastAsia"/>
                <w:sz w:val="24"/>
                <w:szCs w:val="24"/>
              </w:rPr>
              <w:t>备注：</w:t>
            </w:r>
            <w:r>
              <w:rPr>
                <w:rFonts w:hint="eastAsia" w:ascii="Times New Roman" w:hAnsi="Times New Roman" w:cs="Times New Roman"/>
              </w:rPr>
              <w:t>以三口之家为一次检测单位，预估年度测试量为50次。</w:t>
            </w:r>
          </w:p>
        </w:tc>
      </w:tr>
    </w:tbl>
    <w:p>
      <w:pPr>
        <w:widowControl/>
        <w:wordWrap w:val="0"/>
        <w:spacing w:line="193" w:lineRule="atLeast"/>
        <w:rPr>
          <w:rFonts w:ascii="宋体" w:hAnsi="宋体" w:eastAsia="宋体" w:cs="宋体"/>
          <w:kern w:val="0"/>
          <w:sz w:val="24"/>
          <w:szCs w:val="24"/>
        </w:rPr>
      </w:pPr>
    </w:p>
    <w:p>
      <w:pPr>
        <w:spacing w:line="300" w:lineRule="auto"/>
        <w:rPr>
          <w:rFonts w:asciiTheme="minorEastAsia" w:hAnsiTheme="minorEastAsia"/>
          <w:sz w:val="24"/>
          <w:szCs w:val="24"/>
        </w:rPr>
      </w:pPr>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扣率等。</w:t>
      </w:r>
    </w:p>
    <w:p>
      <w:pPr>
        <w:spacing w:line="300" w:lineRule="auto"/>
        <w:rPr>
          <w:rFonts w:asciiTheme="minorEastAsia" w:hAnsiTheme="minorEastAsia"/>
          <w:sz w:val="24"/>
          <w:szCs w:val="24"/>
        </w:rPr>
      </w:pPr>
      <w:r>
        <w:rPr>
          <w:rFonts w:hint="eastAsia" w:asciiTheme="minorEastAsia" w:hAnsiTheme="minorEastAsia"/>
          <w:sz w:val="24"/>
          <w:szCs w:val="24"/>
        </w:rPr>
        <w:t>2、提供本市三级公立医院试剂价格发票复印件。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spacing w:line="300" w:lineRule="auto"/>
        <w:rPr>
          <w:rFonts w:asciiTheme="minorEastAsia" w:hAnsiTheme="minorEastAsia"/>
          <w:sz w:val="24"/>
          <w:szCs w:val="24"/>
        </w:rPr>
      </w:pPr>
      <w:r>
        <w:rPr>
          <w:rFonts w:hint="eastAsia" w:asciiTheme="minorEastAsia" w:hAnsiTheme="minorEastAsia"/>
          <w:sz w:val="24"/>
          <w:szCs w:val="24"/>
        </w:rPr>
        <w:t>16．报价一览表（公司须按照如下报价要求进行报价）</w:t>
      </w:r>
    </w:p>
    <w:p>
      <w:pPr>
        <w:spacing w:line="300" w:lineRule="auto"/>
        <w:rPr>
          <w:rFonts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p>
      <w:pPr>
        <w:widowControl/>
        <w:wordWrap w:val="0"/>
        <w:spacing w:line="193" w:lineRule="atLeast"/>
        <w:rPr>
          <w:rFonts w:ascii="宋体" w:hAnsi="宋体" w:eastAsia="宋体" w:cs="宋体"/>
          <w:kern w:val="0"/>
          <w:szCs w:val="21"/>
        </w:rPr>
      </w:pPr>
    </w:p>
    <w:tbl>
      <w:tblPr>
        <w:tblStyle w:val="8"/>
        <w:tblpPr w:leftFromText="180" w:rightFromText="180" w:vertAnchor="text" w:horzAnchor="margin" w:tblpXSpec="center" w:tblpY="41"/>
        <w:tblOverlap w:val="never"/>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spacing w:line="360" w:lineRule="auto"/>
              <w:jc w:val="center"/>
              <w:rPr>
                <w:rFonts w:ascii="宋体" w:hAnsi="宋体"/>
                <w:sz w:val="22"/>
              </w:rPr>
            </w:pPr>
            <w:r>
              <w:rPr>
                <w:rFonts w:hint="eastAsia" w:ascii="宋体" w:hAnsi="宋体"/>
                <w:sz w:val="22"/>
              </w:rPr>
              <w:t>序号</w:t>
            </w:r>
          </w:p>
        </w:tc>
        <w:tc>
          <w:tcPr>
            <w:tcW w:w="471" w:type="dxa"/>
            <w:vMerge w:val="restart"/>
          </w:tcPr>
          <w:p>
            <w:pPr>
              <w:jc w:val="center"/>
              <w:rPr>
                <w:rFonts w:ascii="宋体" w:hAnsi="宋体"/>
                <w:sz w:val="22"/>
              </w:rPr>
            </w:pPr>
            <w:r>
              <w:rPr>
                <w:rFonts w:hint="eastAsia" w:ascii="宋体" w:hAnsi="宋体"/>
                <w:sz w:val="22"/>
              </w:rPr>
              <w:t>项目名称</w:t>
            </w:r>
          </w:p>
        </w:tc>
        <w:tc>
          <w:tcPr>
            <w:tcW w:w="471" w:type="dxa"/>
            <w:vMerge w:val="restart"/>
          </w:tcPr>
          <w:p>
            <w:pPr>
              <w:jc w:val="center"/>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widowControl/>
              <w:jc w:val="center"/>
              <w:rPr>
                <w:rFonts w:ascii="宋体" w:hAnsi="宋体"/>
                <w:sz w:val="22"/>
              </w:rPr>
            </w:pPr>
            <w:r>
              <w:rPr>
                <w:rFonts w:hint="eastAsia" w:ascii="宋体" w:hAnsi="宋体"/>
                <w:sz w:val="22"/>
              </w:rPr>
              <w:t>投标试剂注册证名称</w:t>
            </w:r>
          </w:p>
        </w:tc>
        <w:tc>
          <w:tcPr>
            <w:tcW w:w="1308" w:type="dxa"/>
            <w:gridSpan w:val="3"/>
            <w:vAlign w:val="center"/>
          </w:tcPr>
          <w:p>
            <w:pPr>
              <w:widowControl/>
              <w:jc w:val="center"/>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widowControl/>
              <w:jc w:val="center"/>
              <w:rPr>
                <w:rFonts w:ascii="宋体" w:hAnsi="宋体"/>
                <w:sz w:val="22"/>
              </w:rPr>
            </w:pPr>
            <w:r>
              <w:rPr>
                <w:rFonts w:hint="eastAsia" w:ascii="宋体" w:hAnsi="宋体"/>
                <w:sz w:val="22"/>
              </w:rPr>
              <w:t>试剂规格（按注册证填写）</w:t>
            </w:r>
          </w:p>
        </w:tc>
        <w:tc>
          <w:tcPr>
            <w:tcW w:w="609" w:type="dxa"/>
            <w:vMerge w:val="restart"/>
          </w:tcPr>
          <w:p>
            <w:pPr>
              <w:widowControl/>
              <w:spacing w:line="252" w:lineRule="atLeast"/>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widowControl/>
              <w:jc w:val="center"/>
              <w:rPr>
                <w:rFonts w:ascii="宋体" w:hAnsi="宋体"/>
                <w:sz w:val="22"/>
              </w:rPr>
            </w:pPr>
            <w:r>
              <w:rPr>
                <w:rFonts w:hint="eastAsia" w:ascii="宋体" w:hAnsi="宋体"/>
                <w:sz w:val="22"/>
              </w:rPr>
              <w:t>生产厂家名称</w:t>
            </w:r>
          </w:p>
        </w:tc>
        <w:tc>
          <w:tcPr>
            <w:tcW w:w="662" w:type="dxa"/>
            <w:vMerge w:val="restart"/>
            <w:vAlign w:val="center"/>
          </w:tcPr>
          <w:p>
            <w:pPr>
              <w:widowControl/>
              <w:jc w:val="center"/>
              <w:rPr>
                <w:rFonts w:ascii="宋体" w:hAnsi="宋体"/>
                <w:sz w:val="22"/>
              </w:rPr>
            </w:pPr>
            <w:r>
              <w:rPr>
                <w:rFonts w:hint="eastAsia" w:ascii="宋体" w:hAnsi="宋体"/>
                <w:sz w:val="22"/>
              </w:rPr>
              <w:t>最小订货单元报价（元/盒等）</w:t>
            </w:r>
          </w:p>
        </w:tc>
        <w:tc>
          <w:tcPr>
            <w:tcW w:w="695" w:type="dxa"/>
            <w:vMerge w:val="restart"/>
            <w:vAlign w:val="center"/>
          </w:tcPr>
          <w:p>
            <w:pPr>
              <w:widowControl/>
              <w:jc w:val="center"/>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spacing w:line="360" w:lineRule="auto"/>
              <w:jc w:val="center"/>
              <w:rPr>
                <w:rFonts w:ascii="宋体" w:hAnsi="宋体"/>
                <w:sz w:val="22"/>
              </w:rPr>
            </w:pPr>
            <w:r>
              <w:rPr>
                <w:rFonts w:hint="eastAsia" w:ascii="宋体" w:hAnsi="宋体"/>
                <w:sz w:val="22"/>
              </w:rPr>
              <w:t>项目收费代码</w:t>
            </w:r>
          </w:p>
        </w:tc>
        <w:tc>
          <w:tcPr>
            <w:tcW w:w="508" w:type="dxa"/>
            <w:vMerge w:val="restart"/>
            <w:vAlign w:val="center"/>
          </w:tcPr>
          <w:p>
            <w:pPr>
              <w:spacing w:line="360" w:lineRule="auto"/>
              <w:rPr>
                <w:rFonts w:ascii="宋体" w:hAnsi="宋体"/>
                <w:sz w:val="22"/>
              </w:rPr>
            </w:pPr>
            <w:r>
              <w:rPr>
                <w:rFonts w:hint="eastAsia" w:ascii="宋体" w:hAnsi="宋体"/>
                <w:sz w:val="22"/>
              </w:rPr>
              <w:t>项目收费名称</w:t>
            </w:r>
          </w:p>
        </w:tc>
        <w:tc>
          <w:tcPr>
            <w:tcW w:w="659" w:type="dxa"/>
            <w:vMerge w:val="restart"/>
            <w:vAlign w:val="center"/>
          </w:tcPr>
          <w:p>
            <w:pPr>
              <w:spacing w:line="360" w:lineRule="auto"/>
              <w:jc w:val="center"/>
              <w:rPr>
                <w:rFonts w:ascii="宋体" w:hAnsi="宋体"/>
                <w:sz w:val="22"/>
              </w:rPr>
            </w:pPr>
            <w:r>
              <w:rPr>
                <w:rFonts w:hint="eastAsia" w:ascii="宋体" w:hAnsi="宋体"/>
                <w:sz w:val="22"/>
              </w:rPr>
              <w:t>项目收费价格（元/人份）</w:t>
            </w:r>
          </w:p>
        </w:tc>
        <w:tc>
          <w:tcPr>
            <w:tcW w:w="712" w:type="dxa"/>
            <w:vMerge w:val="restart"/>
            <w:vAlign w:val="center"/>
          </w:tcPr>
          <w:p>
            <w:pPr>
              <w:widowControl/>
              <w:jc w:val="center"/>
              <w:rPr>
                <w:rFonts w:ascii="宋体" w:hAnsi="宋体" w:cs="宋体"/>
                <w:b/>
                <w:bCs/>
                <w:color w:val="000000"/>
                <w:kern w:val="0"/>
                <w:sz w:val="22"/>
              </w:rPr>
            </w:pPr>
            <w:r>
              <w:rPr>
                <w:rFonts w:hint="eastAsia" w:ascii="宋体" w:hAnsi="宋体"/>
                <w:color w:val="000000"/>
                <w:sz w:val="22"/>
              </w:rPr>
              <w:t>扣率（折扣率=单人份价/项目收费价）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spacing w:line="360" w:lineRule="auto"/>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vAlign w:val="center"/>
          </w:tcPr>
          <w:p>
            <w:pPr>
              <w:widowControl/>
              <w:jc w:val="center"/>
              <w:rPr>
                <w:rFonts w:ascii="宋体" w:hAnsi="宋体"/>
                <w:color w:val="000000"/>
                <w:sz w:val="22"/>
              </w:rPr>
            </w:pPr>
          </w:p>
        </w:tc>
        <w:tc>
          <w:tcPr>
            <w:tcW w:w="436" w:type="dxa"/>
            <w:vAlign w:val="center"/>
          </w:tcPr>
          <w:p>
            <w:pPr>
              <w:widowControl/>
              <w:jc w:val="center"/>
              <w:rPr>
                <w:rFonts w:ascii="宋体" w:hAnsi="宋体"/>
                <w:color w:val="000000"/>
                <w:sz w:val="22"/>
              </w:rPr>
            </w:pPr>
            <w:r>
              <w:rPr>
                <w:rFonts w:hint="eastAsia" w:ascii="宋体" w:hAnsi="宋体"/>
                <w:color w:val="000000"/>
                <w:sz w:val="22"/>
              </w:rPr>
              <w:t>主试剂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辅助试剂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质控品</w:t>
            </w:r>
          </w:p>
        </w:tc>
        <w:tc>
          <w:tcPr>
            <w:tcW w:w="662" w:type="dxa"/>
            <w:vMerge w:val="continue"/>
            <w:vAlign w:val="center"/>
          </w:tcPr>
          <w:p>
            <w:pPr>
              <w:widowControl/>
              <w:jc w:val="center"/>
              <w:rPr>
                <w:rFonts w:ascii="宋体" w:hAnsi="宋体"/>
                <w:color w:val="000000"/>
                <w:sz w:val="22"/>
              </w:rPr>
            </w:pPr>
          </w:p>
        </w:tc>
        <w:tc>
          <w:tcPr>
            <w:tcW w:w="609" w:type="dxa"/>
            <w:vMerge w:val="continue"/>
            <w:vAlign w:val="center"/>
          </w:tcPr>
          <w:p>
            <w:pPr>
              <w:widowControl/>
              <w:jc w:val="center"/>
              <w:rPr>
                <w:rFonts w:ascii="宋体" w:hAnsi="宋体"/>
                <w:color w:val="000000"/>
                <w:sz w:val="22"/>
              </w:rPr>
            </w:pPr>
          </w:p>
        </w:tc>
        <w:tc>
          <w:tcPr>
            <w:tcW w:w="378" w:type="dxa"/>
            <w:vMerge w:val="continue"/>
            <w:vAlign w:val="center"/>
          </w:tcPr>
          <w:p>
            <w:pPr>
              <w:widowControl/>
              <w:jc w:val="center"/>
              <w:rPr>
                <w:rFonts w:ascii="宋体" w:hAnsi="宋体"/>
                <w:color w:val="000000"/>
                <w:sz w:val="22"/>
              </w:rPr>
            </w:pPr>
          </w:p>
        </w:tc>
        <w:tc>
          <w:tcPr>
            <w:tcW w:w="662" w:type="dxa"/>
            <w:vMerge w:val="continue"/>
            <w:vAlign w:val="center"/>
          </w:tcPr>
          <w:p>
            <w:pPr>
              <w:widowControl/>
              <w:jc w:val="center"/>
              <w:rPr>
                <w:rFonts w:ascii="宋体" w:hAnsi="宋体"/>
                <w:color w:val="000000"/>
                <w:sz w:val="22"/>
              </w:rPr>
            </w:pPr>
          </w:p>
        </w:tc>
        <w:tc>
          <w:tcPr>
            <w:tcW w:w="695"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510" w:type="dxa"/>
            <w:vMerge w:val="continue"/>
            <w:vAlign w:val="center"/>
          </w:tcPr>
          <w:p>
            <w:pPr>
              <w:spacing w:line="360" w:lineRule="auto"/>
              <w:jc w:val="center"/>
              <w:rPr>
                <w:rFonts w:ascii="宋体" w:hAnsi="宋体"/>
                <w:color w:val="000000"/>
                <w:sz w:val="22"/>
              </w:rPr>
            </w:pPr>
          </w:p>
        </w:tc>
        <w:tc>
          <w:tcPr>
            <w:tcW w:w="508" w:type="dxa"/>
            <w:vMerge w:val="continue"/>
            <w:vAlign w:val="center"/>
          </w:tcPr>
          <w:p>
            <w:pPr>
              <w:spacing w:line="360" w:lineRule="auto"/>
              <w:rPr>
                <w:rFonts w:ascii="宋体" w:hAnsi="宋体"/>
                <w:color w:val="000000"/>
                <w:sz w:val="22"/>
              </w:rPr>
            </w:pPr>
          </w:p>
        </w:tc>
        <w:tc>
          <w:tcPr>
            <w:tcW w:w="659" w:type="dxa"/>
            <w:vMerge w:val="continue"/>
            <w:vAlign w:val="center"/>
          </w:tcPr>
          <w:p>
            <w:pPr>
              <w:spacing w:line="360" w:lineRule="auto"/>
              <w:jc w:val="center"/>
              <w:rPr>
                <w:rFonts w:ascii="宋体" w:hAnsi="宋体"/>
                <w:color w:val="000000"/>
                <w:sz w:val="22"/>
              </w:rPr>
            </w:pPr>
          </w:p>
        </w:tc>
        <w:tc>
          <w:tcPr>
            <w:tcW w:w="712" w:type="dxa"/>
            <w:vMerge w:val="continue"/>
            <w:vAlign w:val="center"/>
          </w:tcPr>
          <w:p>
            <w:pPr>
              <w:widowControl/>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1</w:t>
            </w:r>
          </w:p>
        </w:tc>
        <w:tc>
          <w:tcPr>
            <w:tcW w:w="471" w:type="dxa"/>
          </w:tcPr>
          <w:p>
            <w:pPr>
              <w:widowControl/>
              <w:jc w:val="center"/>
              <w:rPr>
                <w:rFonts w:ascii="宋体" w:hAnsi="宋体"/>
                <w:color w:val="000000"/>
                <w:sz w:val="22"/>
              </w:rPr>
            </w:pPr>
          </w:p>
        </w:tc>
        <w:tc>
          <w:tcPr>
            <w:tcW w:w="471" w:type="dxa"/>
          </w:tcPr>
          <w:p>
            <w:pPr>
              <w:widowControl/>
              <w:jc w:val="center"/>
              <w:rPr>
                <w:rFonts w:ascii="宋体" w:hAnsi="宋体"/>
                <w:color w:val="000000"/>
                <w:sz w:val="22"/>
              </w:rPr>
            </w:pPr>
          </w:p>
        </w:tc>
        <w:tc>
          <w:tcPr>
            <w:tcW w:w="471" w:type="dxa"/>
            <w:vAlign w:val="center"/>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09" w:type="dxa"/>
            <w:vAlign w:val="center"/>
          </w:tcPr>
          <w:p>
            <w:pPr>
              <w:widowControl/>
              <w:jc w:val="center"/>
              <w:rPr>
                <w:rFonts w:ascii="宋体" w:hAnsi="宋体"/>
                <w:color w:val="000000"/>
                <w:sz w:val="22"/>
              </w:rPr>
            </w:pPr>
          </w:p>
        </w:tc>
        <w:tc>
          <w:tcPr>
            <w:tcW w:w="378" w:type="dxa"/>
            <w:vAlign w:val="center"/>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95"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rPr>
                <w:rFonts w:ascii="宋体" w:hAnsi="宋体"/>
                <w:color w:val="000000"/>
                <w:sz w:val="22"/>
              </w:rPr>
            </w:pPr>
          </w:p>
        </w:tc>
        <w:tc>
          <w:tcPr>
            <w:tcW w:w="659" w:type="dxa"/>
            <w:vAlign w:val="center"/>
          </w:tcPr>
          <w:p>
            <w:pPr>
              <w:spacing w:line="360" w:lineRule="auto"/>
              <w:jc w:val="center"/>
              <w:rPr>
                <w:rFonts w:ascii="宋体" w:hAnsi="宋体"/>
                <w:color w:val="000000"/>
                <w:sz w:val="22"/>
              </w:rPr>
            </w:pPr>
          </w:p>
        </w:tc>
        <w:tc>
          <w:tcPr>
            <w:tcW w:w="712" w:type="dxa"/>
            <w:vAlign w:val="center"/>
          </w:tcPr>
          <w:p>
            <w:pPr>
              <w:widowControl/>
              <w:jc w:val="center"/>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2</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widowControl/>
              <w:jc w:val="center"/>
              <w:rPr>
                <w:rFonts w:ascii="宋体" w:hAnsi="宋体" w:cs="宋体"/>
                <w:b/>
                <w:bCs/>
                <w:color w:val="000000"/>
                <w:kern w:val="0"/>
                <w:sz w:val="22"/>
              </w:rPr>
            </w:pPr>
          </w:p>
        </w:tc>
        <w:tc>
          <w:tcPr>
            <w:tcW w:w="508" w:type="dxa"/>
            <w:vAlign w:val="center"/>
          </w:tcPr>
          <w:p>
            <w:pPr>
              <w:widowControl/>
              <w:jc w:val="center"/>
              <w:rPr>
                <w:rFonts w:ascii="宋体" w:hAnsi="宋体" w:cs="宋体"/>
                <w:b/>
                <w:bCs/>
                <w:color w:val="000000"/>
                <w:kern w:val="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ascii="宋体" w:hAnsi="宋体"/>
                <w:color w:val="000000"/>
                <w:sz w:val="22"/>
              </w:rPr>
              <w:t>…</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jc w:val="center"/>
              <w:rPr>
                <w:rFonts w:ascii="宋体" w:hAnsi="宋体"/>
                <w:color w:val="00000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bl>
    <w:p>
      <w:pPr>
        <w:widowControl/>
        <w:wordWrap w:val="0"/>
        <w:spacing w:line="193" w:lineRule="atLeast"/>
        <w:rPr>
          <w:rFonts w:ascii="宋体" w:hAnsi="宋体" w:eastAsia="宋体" w:cs="宋体"/>
          <w:kern w:val="0"/>
          <w:szCs w:val="21"/>
        </w:rPr>
      </w:pP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四、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五、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w:t>
      </w:r>
      <w:r>
        <w:rPr>
          <w:rFonts w:hint="eastAsia" w:ascii="宋体" w:hAnsi="宋体" w:eastAsia="宋体" w:cs="宋体"/>
          <w:kern w:val="0"/>
          <w:sz w:val="23"/>
          <w:szCs w:val="23"/>
          <w:shd w:val="clear" w:color="auto" w:fill="FFFFFF"/>
        </w:rPr>
        <w:t>密封处加盖公司骑缝公章</w:t>
      </w:r>
      <w:r>
        <w:rPr>
          <w:rFonts w:hint="eastAsia" w:ascii="宋体" w:hAnsi="宋体" w:eastAsia="宋体" w:cs="宋体"/>
          <w:kern w:val="0"/>
          <w:szCs w:val="21"/>
        </w:rPr>
        <w:t>,且</w:t>
      </w:r>
      <w:r>
        <w:rPr>
          <w:rFonts w:hint="eastAsia" w:ascii="宋体" w:hAnsi="宋体" w:eastAsia="宋体" w:cs="宋体"/>
          <w:kern w:val="0"/>
          <w:sz w:val="23"/>
          <w:szCs w:val="23"/>
          <w:shd w:val="clear" w:color="auto" w:fill="FFFFFF"/>
        </w:rPr>
        <w:t>非格式报价单、开口报价单均无效</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不符合以上要求的资料一律作为无效资料处理</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不具备遴选资格</w:t>
      </w:r>
      <w:r>
        <w:rPr>
          <w:rFonts w:hint="eastAsia" w:ascii="宋体" w:hAnsi="宋体" w:eastAsia="宋体" w:cs="宋体"/>
          <w:kern w:val="0"/>
          <w:szCs w:val="21"/>
        </w:rPr>
        <w:t>。</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六、供应期限：遴选最终确定的产品，供应产品质量及服务达到要求的，供应期限为36个月。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七、付款周期：对账日期后3个月。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八、特别备注：由于遴选试剂不能单独完成应用或检测要求的，或与甲方现有设备不相兼容的，经双方协商，乙方需提供完成检查检测的相关设备及附件。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kern w:val="0"/>
          <w:szCs w:val="21"/>
        </w:rPr>
      </w:pPr>
      <w:r>
        <w:rPr>
          <w:rFonts w:ascii="Calibri" w:hAnsi="Calibri" w:eastAsia="微软雅黑" w:cs="宋体"/>
          <w:kern w:val="0"/>
          <w:szCs w:val="21"/>
        </w:rPr>
        <w:t> </w:t>
      </w:r>
    </w:p>
    <w:p>
      <w:pPr>
        <w:widowControl/>
        <w:wordWrap w:val="0"/>
        <w:spacing w:line="193" w:lineRule="atLeast"/>
        <w:ind w:firstLine="482" w:firstLineChars="200"/>
        <w:rPr>
          <w:rFonts w:ascii="Calibri" w:hAnsi="Calibri" w:eastAsia="宋体" w:cs="宋体"/>
          <w:b/>
          <w:bCs/>
          <w:color w:val="333333"/>
          <w:kern w:val="0"/>
          <w:sz w:val="24"/>
          <w:szCs w:val="24"/>
        </w:rPr>
      </w:pPr>
      <w:r>
        <w:rPr>
          <w:rFonts w:hint="eastAsia" w:ascii="宋体" w:hAnsi="宋体" w:eastAsia="宋体" w:cs="宋体"/>
          <w:b/>
          <w:bCs/>
          <w:color w:val="000000"/>
          <w:kern w:val="0"/>
          <w:sz w:val="24"/>
          <w:szCs w:val="24"/>
        </w:rPr>
        <w:t>资料提交截止时间。</w:t>
      </w:r>
    </w:p>
    <w:p>
      <w:pPr>
        <w:widowControl/>
        <w:wordWrap w:val="0"/>
        <w:spacing w:line="193" w:lineRule="atLeas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开标日期：2021年5月18日，北京时间：15:00</w:t>
      </w:r>
    </w:p>
    <w:p>
      <w:pPr>
        <w:widowControl/>
        <w:wordWrap w:val="0"/>
        <w:spacing w:line="193" w:lineRule="atLeas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开标地点：上海市泸定路355号住院部503会议室</w:t>
      </w:r>
    </w:p>
    <w:p>
      <w:pPr>
        <w:widowControl/>
        <w:wordWrap w:val="0"/>
        <w:spacing w:line="193" w:lineRule="atLeast"/>
        <w:ind w:firstLine="480" w:firstLineChars="200"/>
        <w:rPr>
          <w:color w:val="FF0000"/>
          <w:sz w:val="24"/>
          <w:szCs w:val="24"/>
        </w:rPr>
      </w:pPr>
      <w:r>
        <w:rPr>
          <w:rFonts w:hint="eastAsia"/>
          <w:color w:val="FF0000"/>
          <w:sz w:val="24"/>
          <w:szCs w:val="24"/>
        </w:rPr>
        <w:t>★注意事项：</w:t>
      </w:r>
    </w:p>
    <w:p>
      <w:pPr>
        <w:widowControl/>
        <w:wordWrap w:val="0"/>
        <w:spacing w:line="193" w:lineRule="atLeast"/>
        <w:ind w:firstLine="240" w:firstLineChars="100"/>
        <w:rPr>
          <w:color w:val="FF0000"/>
          <w:sz w:val="24"/>
          <w:szCs w:val="24"/>
        </w:rPr>
      </w:pPr>
      <w:r>
        <w:rPr>
          <w:rFonts w:hint="eastAsia"/>
          <w:color w:val="FF0000"/>
          <w:sz w:val="24"/>
          <w:szCs w:val="24"/>
        </w:rPr>
        <w:t>（1）</w:t>
      </w:r>
      <w:r>
        <w:rPr>
          <w:rFonts w:ascii="宋体" w:hAnsi="宋体" w:eastAsia="宋体" w:cs="宋体"/>
          <w:color w:val="FF0000"/>
          <w:kern w:val="0"/>
          <w:sz w:val="24"/>
          <w:szCs w:val="24"/>
        </w:rPr>
        <w:t>遴选会</w:t>
      </w:r>
      <w:r>
        <w:rPr>
          <w:rFonts w:hint="eastAsia" w:ascii="宋体" w:hAnsi="宋体" w:eastAsia="宋体" w:cs="宋体"/>
          <w:color w:val="FF0000"/>
          <w:kern w:val="0"/>
          <w:sz w:val="24"/>
          <w:szCs w:val="24"/>
        </w:rPr>
        <w:t>网上</w:t>
      </w:r>
      <w:r>
        <w:rPr>
          <w:rFonts w:ascii="宋体" w:hAnsi="宋体" w:eastAsia="宋体" w:cs="宋体"/>
          <w:color w:val="FF0000"/>
          <w:kern w:val="0"/>
          <w:sz w:val="24"/>
          <w:szCs w:val="24"/>
        </w:rPr>
        <w:t>报名</w:t>
      </w:r>
      <w:r>
        <w:rPr>
          <w:rFonts w:hint="eastAsia" w:ascii="宋体" w:hAnsi="宋体" w:eastAsia="宋体" w:cs="宋体"/>
          <w:color w:val="FF0000"/>
          <w:kern w:val="0"/>
          <w:sz w:val="24"/>
          <w:szCs w:val="24"/>
        </w:rPr>
        <w:t>链接</w:t>
      </w:r>
      <w:r>
        <w:rPr>
          <w:rFonts w:ascii="宋体" w:hAnsi="宋体" w:eastAsia="宋体" w:cs="宋体"/>
          <w:color w:val="FF0000"/>
          <w:kern w:val="0"/>
          <w:sz w:val="24"/>
          <w:szCs w:val="24"/>
        </w:rPr>
        <w:t>：</w:t>
      </w:r>
      <w:r>
        <w:rPr>
          <w:rFonts w:hint="eastAsia"/>
          <w:color w:val="FF0000"/>
          <w:sz w:val="24"/>
          <w:szCs w:val="24"/>
          <w:u w:val="single"/>
        </w:rPr>
        <w:t>https://www.wjx.cn/vj/hW2mqAc.aspx</w:t>
      </w:r>
      <w:r>
        <w:rPr>
          <w:rFonts w:hint="eastAsia"/>
          <w:color w:val="FF0000"/>
          <w:sz w:val="24"/>
          <w:szCs w:val="24"/>
        </w:rPr>
        <w:t>，请于开标上一工作日17:00时前提交，逾期未提交者不得参与项目遴选。</w:t>
      </w:r>
    </w:p>
    <w:p>
      <w:pPr>
        <w:widowControl/>
        <w:wordWrap w:val="0"/>
        <w:spacing w:line="193" w:lineRule="atLeast"/>
        <w:ind w:firstLine="240" w:firstLineChars="100"/>
        <w:rPr>
          <w:color w:val="FF0000"/>
          <w:sz w:val="24"/>
          <w:szCs w:val="24"/>
        </w:rPr>
      </w:pPr>
      <w:r>
        <w:rPr>
          <w:rFonts w:hint="eastAsia"/>
          <w:color w:val="FF0000"/>
          <w:sz w:val="24"/>
          <w:szCs w:val="24"/>
        </w:rPr>
        <w:t xml:space="preserve">（2）投标方代表严格遵守开标纪律，务必于开标前10分钟携带遴选文件到达会场，遴选文件必须排版胶装并以档案袋密封,密封处加盖公司骑缝公章,非格式报价单、开口报价单均无效,不符合以上要求均视为无效投标,不具备遴选资格。 </w:t>
      </w:r>
    </w:p>
    <w:p>
      <w:pPr>
        <w:widowControl/>
        <w:wordWrap w:val="0"/>
        <w:spacing w:line="193" w:lineRule="atLeast"/>
        <w:ind w:firstLine="240" w:firstLineChars="100"/>
        <w:rPr>
          <w:color w:val="FF0000"/>
          <w:sz w:val="24"/>
          <w:szCs w:val="24"/>
        </w:rPr>
      </w:pPr>
      <w:r>
        <w:rPr>
          <w:rFonts w:hint="eastAsia"/>
          <w:color w:val="FF0000"/>
          <w:sz w:val="24"/>
          <w:szCs w:val="24"/>
        </w:rPr>
        <w:t>（3）遴选响应文件的份数：纸质正本1份，电子版1份（1.全套投标文件正本（加盖公章） ：PDF格式扫描件；2. 遴选采购报价表、技术偏离表：excel版本，电子版请于开标后发送至邮箱</w:t>
      </w:r>
      <w:r>
        <w:fldChar w:fldCharType="begin"/>
      </w:r>
      <w:r>
        <w:instrText xml:space="preserve"> HYPERLINK "mailto:xuml@shchildren.com.cn" </w:instrText>
      </w:r>
      <w:r>
        <w:fldChar w:fldCharType="separate"/>
      </w:r>
      <w:r>
        <w:rPr>
          <w:rFonts w:hint="eastAsia"/>
          <w:color w:val="FF0000"/>
          <w:sz w:val="24"/>
          <w:szCs w:val="24"/>
        </w:rPr>
        <w:t>zhenglin@shchildren.com.cn</w:t>
      </w:r>
      <w:r>
        <w:rPr>
          <w:rFonts w:hint="eastAsia"/>
          <w:color w:val="FF0000"/>
          <w:sz w:val="24"/>
          <w:szCs w:val="24"/>
        </w:rPr>
        <w:fldChar w:fldCharType="end"/>
      </w:r>
      <w:r>
        <w:rPr>
          <w:rFonts w:hint="eastAsia"/>
          <w:color w:val="FF0000"/>
          <w:sz w:val="24"/>
          <w:szCs w:val="24"/>
        </w:rPr>
        <w:t>）。</w:t>
      </w:r>
    </w:p>
    <w:p>
      <w:pPr>
        <w:widowControl/>
        <w:wordWrap w:val="0"/>
        <w:spacing w:line="193" w:lineRule="atLeast"/>
        <w:rPr>
          <w:color w:val="FF0000"/>
        </w:rPr>
      </w:pP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b/>
          <w:bCs/>
          <w:color w:val="000000"/>
          <w:kern w:val="0"/>
          <w:sz w:val="24"/>
          <w:szCs w:val="24"/>
        </w:rPr>
        <w:t>联系地址</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上海市泸定路355号上海市儿童医院 门诊一楼</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联系人：文志林、郑霖</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联系电话：021-52974032</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上海市儿童医院采购中心</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2021年5月11日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17944"/>
    <w:multiLevelType w:val="multilevel"/>
    <w:tmpl w:val="5761794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5A9E3AC5"/>
    <w:multiLevelType w:val="multilevel"/>
    <w:tmpl w:val="5A9E3AC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CE"/>
    <w:rsid w:val="00003289"/>
    <w:rsid w:val="000506EB"/>
    <w:rsid w:val="0008767E"/>
    <w:rsid w:val="000E00D2"/>
    <w:rsid w:val="00100C93"/>
    <w:rsid w:val="00140F7C"/>
    <w:rsid w:val="00143232"/>
    <w:rsid w:val="00154B99"/>
    <w:rsid w:val="00167038"/>
    <w:rsid w:val="0017259A"/>
    <w:rsid w:val="001D05FB"/>
    <w:rsid w:val="001D33B1"/>
    <w:rsid w:val="001F144A"/>
    <w:rsid w:val="001F3742"/>
    <w:rsid w:val="00214130"/>
    <w:rsid w:val="00235ADD"/>
    <w:rsid w:val="0029714C"/>
    <w:rsid w:val="002B006F"/>
    <w:rsid w:val="002F05AD"/>
    <w:rsid w:val="0031743E"/>
    <w:rsid w:val="00353CF8"/>
    <w:rsid w:val="00362669"/>
    <w:rsid w:val="003876C9"/>
    <w:rsid w:val="0039694A"/>
    <w:rsid w:val="003D3093"/>
    <w:rsid w:val="003F16FE"/>
    <w:rsid w:val="00435999"/>
    <w:rsid w:val="00445D31"/>
    <w:rsid w:val="00465BEB"/>
    <w:rsid w:val="004964AB"/>
    <w:rsid w:val="004F1093"/>
    <w:rsid w:val="00510296"/>
    <w:rsid w:val="005229EC"/>
    <w:rsid w:val="00530A0B"/>
    <w:rsid w:val="005315F6"/>
    <w:rsid w:val="00536A1A"/>
    <w:rsid w:val="00541F4A"/>
    <w:rsid w:val="0059702A"/>
    <w:rsid w:val="005E4CBC"/>
    <w:rsid w:val="00605EF8"/>
    <w:rsid w:val="00614545"/>
    <w:rsid w:val="00620853"/>
    <w:rsid w:val="00655393"/>
    <w:rsid w:val="006C5381"/>
    <w:rsid w:val="006D46AF"/>
    <w:rsid w:val="006D634C"/>
    <w:rsid w:val="0071743D"/>
    <w:rsid w:val="0074080D"/>
    <w:rsid w:val="00751C43"/>
    <w:rsid w:val="00754398"/>
    <w:rsid w:val="007631FF"/>
    <w:rsid w:val="007967C2"/>
    <w:rsid w:val="00801135"/>
    <w:rsid w:val="00842BD0"/>
    <w:rsid w:val="00870F03"/>
    <w:rsid w:val="008D2C6C"/>
    <w:rsid w:val="008E5159"/>
    <w:rsid w:val="008F6C9C"/>
    <w:rsid w:val="00904AF5"/>
    <w:rsid w:val="00937943"/>
    <w:rsid w:val="009760A6"/>
    <w:rsid w:val="00984C86"/>
    <w:rsid w:val="00994FF0"/>
    <w:rsid w:val="009A338F"/>
    <w:rsid w:val="00A72DF5"/>
    <w:rsid w:val="00A87003"/>
    <w:rsid w:val="00AB0A3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6A0D"/>
    <w:rsid w:val="00DB73CB"/>
    <w:rsid w:val="00DE5668"/>
    <w:rsid w:val="00E17E7F"/>
    <w:rsid w:val="00E46E67"/>
    <w:rsid w:val="00E559B7"/>
    <w:rsid w:val="00EC6624"/>
    <w:rsid w:val="00ED15EA"/>
    <w:rsid w:val="00ED5FB8"/>
    <w:rsid w:val="00EF518C"/>
    <w:rsid w:val="00F25873"/>
    <w:rsid w:val="00F53926"/>
    <w:rsid w:val="00F727BD"/>
    <w:rsid w:val="00F74D05"/>
    <w:rsid w:val="00F9004E"/>
    <w:rsid w:val="00FD4EB1"/>
    <w:rsid w:val="052E38E1"/>
    <w:rsid w:val="06456F2F"/>
    <w:rsid w:val="06AE7D15"/>
    <w:rsid w:val="06E077D2"/>
    <w:rsid w:val="0716207E"/>
    <w:rsid w:val="075F4276"/>
    <w:rsid w:val="0B3D54C6"/>
    <w:rsid w:val="0BD151AB"/>
    <w:rsid w:val="0D5170BE"/>
    <w:rsid w:val="0E0A7675"/>
    <w:rsid w:val="10C91DD2"/>
    <w:rsid w:val="10FA49AA"/>
    <w:rsid w:val="11711B25"/>
    <w:rsid w:val="166D01D8"/>
    <w:rsid w:val="17365260"/>
    <w:rsid w:val="1790318F"/>
    <w:rsid w:val="18B34AB1"/>
    <w:rsid w:val="1926004F"/>
    <w:rsid w:val="1A8E11FB"/>
    <w:rsid w:val="1AAD44D4"/>
    <w:rsid w:val="1BE71836"/>
    <w:rsid w:val="1C085564"/>
    <w:rsid w:val="20BD5BD5"/>
    <w:rsid w:val="226B2261"/>
    <w:rsid w:val="23E834D5"/>
    <w:rsid w:val="2A0A052A"/>
    <w:rsid w:val="2B08526E"/>
    <w:rsid w:val="2C0606D5"/>
    <w:rsid w:val="30806547"/>
    <w:rsid w:val="323A48DC"/>
    <w:rsid w:val="34E42337"/>
    <w:rsid w:val="3684581C"/>
    <w:rsid w:val="36ED1E34"/>
    <w:rsid w:val="38031B8D"/>
    <w:rsid w:val="394270EA"/>
    <w:rsid w:val="3A3662F3"/>
    <w:rsid w:val="3B260A61"/>
    <w:rsid w:val="3BD5458B"/>
    <w:rsid w:val="3DA71EFB"/>
    <w:rsid w:val="3EEE4FED"/>
    <w:rsid w:val="3FE35A0C"/>
    <w:rsid w:val="411F46A5"/>
    <w:rsid w:val="41960B50"/>
    <w:rsid w:val="43BF292A"/>
    <w:rsid w:val="4551058A"/>
    <w:rsid w:val="46E77B6B"/>
    <w:rsid w:val="4747106E"/>
    <w:rsid w:val="4BC24A77"/>
    <w:rsid w:val="4DFA7795"/>
    <w:rsid w:val="51363427"/>
    <w:rsid w:val="53FD3ABD"/>
    <w:rsid w:val="554E62C0"/>
    <w:rsid w:val="576E7689"/>
    <w:rsid w:val="585C234E"/>
    <w:rsid w:val="5C3D1857"/>
    <w:rsid w:val="5D126255"/>
    <w:rsid w:val="5DE078E6"/>
    <w:rsid w:val="5DF023B0"/>
    <w:rsid w:val="603C1320"/>
    <w:rsid w:val="61191A11"/>
    <w:rsid w:val="649A7DC9"/>
    <w:rsid w:val="64FE099A"/>
    <w:rsid w:val="65752D20"/>
    <w:rsid w:val="67CF1147"/>
    <w:rsid w:val="6800057A"/>
    <w:rsid w:val="6CA9662D"/>
    <w:rsid w:val="6DF00842"/>
    <w:rsid w:val="6E62269D"/>
    <w:rsid w:val="6E7F33F8"/>
    <w:rsid w:val="70494CD4"/>
    <w:rsid w:val="705A4DB9"/>
    <w:rsid w:val="7349268D"/>
    <w:rsid w:val="73966EBB"/>
    <w:rsid w:val="75F4167C"/>
    <w:rsid w:val="7A044863"/>
    <w:rsid w:val="7BB948D7"/>
    <w:rsid w:val="7BD50615"/>
    <w:rsid w:val="7D753796"/>
    <w:rsid w:val="7F1838BF"/>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qFormat/>
    <w:uiPriority w:val="0"/>
    <w:pPr>
      <w:jc w:val="left"/>
    </w:pPr>
    <w:rPr>
      <w:rFonts w:ascii="Times New Roman" w:hAnsi="Times New Roman" w:eastAsia="宋体" w:cs="Times New Roman"/>
      <w:szCs w:val="24"/>
    </w:rPr>
  </w:style>
  <w:style w:type="paragraph" w:styleId="4">
    <w:name w:val="Balloon Text"/>
    <w:basedOn w:val="1"/>
    <w:link w:val="21"/>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Emphasis"/>
    <w:basedOn w:val="9"/>
    <w:qFormat/>
    <w:uiPriority w:val="20"/>
    <w:rPr>
      <w:i/>
      <w:iCs/>
    </w:rPr>
  </w:style>
  <w:style w:type="character" w:styleId="13">
    <w:name w:val="Hyperlink"/>
    <w:basedOn w:val="9"/>
    <w:unhideWhenUsed/>
    <w:qFormat/>
    <w:uiPriority w:val="99"/>
    <w:rPr>
      <w:color w:val="0000FF"/>
      <w:u w:val="single"/>
    </w:rPr>
  </w:style>
  <w:style w:type="character" w:styleId="14">
    <w:name w:val="annotation reference"/>
    <w:semiHidden/>
    <w:qFormat/>
    <w:uiPriority w:val="0"/>
    <w:rPr>
      <w:sz w:val="21"/>
      <w:szCs w:val="21"/>
    </w:rPr>
  </w:style>
  <w:style w:type="character" w:customStyle="1" w:styleId="15">
    <w:name w:val="页眉 Char"/>
    <w:basedOn w:val="9"/>
    <w:link w:val="6"/>
    <w:semiHidden/>
    <w:qFormat/>
    <w:uiPriority w:val="99"/>
    <w:rPr>
      <w:sz w:val="18"/>
      <w:szCs w:val="18"/>
    </w:rPr>
  </w:style>
  <w:style w:type="character" w:customStyle="1" w:styleId="16">
    <w:name w:val="页脚 Char"/>
    <w:basedOn w:val="9"/>
    <w:link w:val="5"/>
    <w:semiHidden/>
    <w:qFormat/>
    <w:uiPriority w:val="99"/>
    <w:rPr>
      <w:sz w:val="18"/>
      <w:szCs w:val="18"/>
    </w:rPr>
  </w:style>
  <w:style w:type="character" w:customStyle="1" w:styleId="17">
    <w:name w:val="标题 1 Char"/>
    <w:basedOn w:val="9"/>
    <w:link w:val="2"/>
    <w:qFormat/>
    <w:uiPriority w:val="9"/>
    <w:rPr>
      <w:rFonts w:ascii="宋体" w:hAnsi="宋体" w:eastAsia="宋体" w:cs="宋体"/>
      <w:b/>
      <w:bCs/>
      <w:kern w:val="36"/>
      <w:sz w:val="48"/>
      <w:szCs w:val="48"/>
    </w:rPr>
  </w:style>
  <w:style w:type="character" w:customStyle="1" w:styleId="18">
    <w:name w:val="meta-date"/>
    <w:basedOn w:val="9"/>
    <w:qFormat/>
    <w:uiPriority w:val="0"/>
  </w:style>
  <w:style w:type="character" w:customStyle="1" w:styleId="19">
    <w:name w:val="meta-aname"/>
    <w:basedOn w:val="9"/>
    <w:qFormat/>
    <w:uiPriority w:val="0"/>
  </w:style>
  <w:style w:type="character" w:customStyle="1" w:styleId="20">
    <w:name w:val="批注文字 Char"/>
    <w:basedOn w:val="9"/>
    <w:link w:val="3"/>
    <w:semiHidden/>
    <w:qFormat/>
    <w:uiPriority w:val="0"/>
    <w:rPr>
      <w:rFonts w:ascii="Times New Roman" w:hAnsi="Times New Roman" w:eastAsia="宋体" w:cs="Times New Roman"/>
      <w:kern w:val="2"/>
      <w:sz w:val="21"/>
      <w:szCs w:val="24"/>
    </w:rPr>
  </w:style>
  <w:style w:type="character" w:customStyle="1" w:styleId="21">
    <w:name w:val="批注框文本 Char"/>
    <w:basedOn w:val="9"/>
    <w:link w:val="4"/>
    <w:semiHidden/>
    <w:qFormat/>
    <w:uiPriority w:val="99"/>
    <w:rPr>
      <w:kern w:val="2"/>
      <w:sz w:val="18"/>
      <w:szCs w:val="18"/>
    </w:rPr>
  </w:style>
  <w:style w:type="paragraph" w:customStyle="1" w:styleId="22">
    <w:name w:val="ifb-1"/>
    <w:basedOn w:val="1"/>
    <w:qFormat/>
    <w:uiPriority w:val="0"/>
    <w:pPr>
      <w:ind w:left="420" w:hanging="420"/>
    </w:pPr>
    <w:rPr>
      <w:rFonts w:ascii="楷体_GB2312" w:eastAsia="楷体_GB2312"/>
      <w:szCs w:val="20"/>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3B907-22EF-46B9-A1BF-B7683BBF7B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540</Words>
  <Characters>3084</Characters>
  <Lines>25</Lines>
  <Paragraphs>7</Paragraphs>
  <TotalTime>0</TotalTime>
  <ScaleCrop>false</ScaleCrop>
  <LinksUpToDate>false</LinksUpToDate>
  <CharactersWithSpaces>3617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2021-05-11T06:42:00Z</dcterms:created>
  <dc:creator>user</dc:creator>
  <cp:lastModifiedBy>郑霖</cp:lastModifiedBy>
  <dcterms:modified xsi:type="dcterms:W3CDTF">2021-05-11T06:48:19Z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B79F644C043646CFBA526ED9B76E870F</vt:lpwstr>
  </property>
</Properties>
</file>