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inherit" w:hAnsi="inherit" w:eastAsia="微软雅黑" w:cs="宋体"/>
          <w:kern w:val="36"/>
          <w:sz w:val="28"/>
          <w:szCs w:val="28"/>
          <w:lang w:val="en-US" w:eastAsia="zh-CN"/>
        </w:rPr>
      </w:pPr>
      <w:r>
        <w:rPr>
          <w:rFonts w:ascii="inherit" w:hAnsi="inherit" w:eastAsia="微软雅黑" w:cs="宋体"/>
          <w:kern w:val="36"/>
          <w:sz w:val="28"/>
          <w:szCs w:val="28"/>
        </w:rPr>
        <w:t>上海市儿童医院</w:t>
      </w:r>
      <w:r>
        <w:rPr>
          <w:rFonts w:hint="eastAsia" w:ascii="inherit" w:hAnsi="inherit" w:eastAsia="微软雅黑" w:cs="宋体"/>
          <w:kern w:val="36"/>
          <w:sz w:val="28"/>
          <w:szCs w:val="28"/>
          <w:lang w:eastAsia="zh-CN"/>
        </w:rPr>
        <w:t>“</w:t>
      </w:r>
      <w:r>
        <w:rPr>
          <w:rFonts w:ascii="inherit" w:hAnsi="inherit" w:eastAsia="微软雅黑" w:cs="宋体"/>
          <w:kern w:val="36"/>
          <w:sz w:val="28"/>
          <w:szCs w:val="28"/>
          <w:lang w:val="en-US" w:eastAsia="zh-CN"/>
        </w:rPr>
        <w:t>百日咳杆菌核酸检测（P</w:t>
      </w:r>
      <w:r>
        <w:rPr>
          <w:rFonts w:hint="eastAsia" w:ascii="inherit" w:hAnsi="inherit" w:eastAsia="微软雅黑" w:cs="宋体"/>
          <w:kern w:val="36"/>
          <w:sz w:val="28"/>
          <w:szCs w:val="28"/>
          <w:lang w:val="en-US" w:eastAsia="zh-CN"/>
        </w:rPr>
        <w:t>CR-荧光探针法）、</w:t>
      </w:r>
    </w:p>
    <w:p>
      <w:pPr>
        <w:keepNext w:val="0"/>
        <w:keepLines w:val="0"/>
        <w:widowControl/>
        <w:suppressLineNumbers w:val="0"/>
        <w:jc w:val="center"/>
        <w:rPr>
          <w:rFonts w:hint="eastAsia" w:ascii="inherit" w:hAnsi="inherit" w:eastAsia="微软雅黑" w:cs="宋体"/>
          <w:kern w:val="36"/>
          <w:sz w:val="28"/>
          <w:szCs w:val="28"/>
          <w:lang w:val="en-US" w:eastAsia="zh-CN"/>
        </w:rPr>
      </w:pPr>
      <w:r>
        <w:rPr>
          <w:rFonts w:hint="eastAsia" w:ascii="inherit" w:hAnsi="inherit" w:eastAsia="微软雅黑" w:cs="宋体"/>
          <w:kern w:val="36"/>
          <w:sz w:val="28"/>
          <w:szCs w:val="28"/>
          <w:lang w:val="en-US" w:eastAsia="zh-CN"/>
        </w:rPr>
        <w:t>血细胞分析用溶血剂（WDF、WNR血细胞分析用）”</w:t>
      </w:r>
    </w:p>
    <w:p>
      <w:pPr>
        <w:keepNext w:val="0"/>
        <w:keepLines w:val="0"/>
        <w:widowControl/>
        <w:suppressLineNumbers w:val="0"/>
        <w:jc w:val="center"/>
        <w:rPr>
          <w:rFonts w:hint="eastAsia" w:ascii="inherit" w:hAnsi="inherit" w:eastAsia="微软雅黑" w:cs="宋体"/>
          <w:kern w:val="36"/>
          <w:sz w:val="28"/>
          <w:szCs w:val="28"/>
          <w:lang w:val="en-US" w:eastAsia="zh-CN"/>
        </w:rPr>
      </w:pPr>
      <w:r>
        <w:rPr>
          <w:rFonts w:ascii="inherit" w:hAnsi="inherit" w:eastAsia="微软雅黑" w:cs="宋体"/>
          <w:kern w:val="36"/>
          <w:sz w:val="28"/>
          <w:szCs w:val="28"/>
        </w:rPr>
        <w:t>供应商遴选</w:t>
      </w:r>
      <w:r>
        <w:rPr>
          <w:rFonts w:hint="eastAsia" w:ascii="inherit" w:hAnsi="inherit" w:eastAsia="微软雅黑" w:cs="宋体"/>
          <w:kern w:val="36"/>
          <w:sz w:val="28"/>
          <w:szCs w:val="28"/>
        </w:rPr>
        <w:t>文件</w:t>
      </w:r>
      <w:r>
        <w:rPr>
          <w:rFonts w:hint="eastAsia" w:ascii="inherit" w:hAnsi="inherit" w:eastAsia="微软雅黑" w:cs="宋体"/>
          <w:kern w:val="36"/>
          <w:sz w:val="28"/>
          <w:szCs w:val="28"/>
          <w:lang w:val="en-US" w:eastAsia="zh-CN"/>
        </w:rPr>
        <w:t>(第二次）</w:t>
      </w:r>
    </w:p>
    <w:p>
      <w:pPr>
        <w:widowControl/>
        <w:spacing w:line="504" w:lineRule="atLeast"/>
        <w:jc w:val="center"/>
        <w:outlineLvl w:val="0"/>
        <w:rPr>
          <w:rFonts w:hint="eastAsia" w:ascii="inherit" w:hAnsi="inherit" w:eastAsia="微软雅黑" w:cs="宋体"/>
          <w:kern w:val="36"/>
          <w:sz w:val="28"/>
          <w:szCs w:val="28"/>
          <w:lang w:val="en-US" w:eastAsia="zh-CN"/>
        </w:rPr>
      </w:pPr>
      <w:r>
        <w:rPr>
          <w:rFonts w:hint="eastAsia" w:ascii="inherit" w:hAnsi="inherit" w:eastAsia="微软雅黑" w:cs="宋体"/>
          <w:kern w:val="36"/>
          <w:sz w:val="28"/>
          <w:szCs w:val="28"/>
        </w:rPr>
        <w:t>遴选编号：2021-ETLXSJ-00</w:t>
      </w:r>
      <w:r>
        <w:rPr>
          <w:rFonts w:hint="eastAsia" w:ascii="inherit" w:hAnsi="inherit" w:eastAsia="微软雅黑" w:cs="宋体"/>
          <w:kern w:val="36"/>
          <w:sz w:val="28"/>
          <w:szCs w:val="28"/>
          <w:lang w:val="en-US" w:eastAsia="zh-CN"/>
        </w:rPr>
        <w:t>2</w:t>
      </w:r>
    </w:p>
    <w:p>
      <w:pPr>
        <w:widowControl/>
        <w:spacing w:before="168" w:after="168"/>
        <w:ind w:firstLine="480" w:firstLineChars="200"/>
        <w:jc w:val="left"/>
        <w:rPr>
          <w:rFonts w:ascii="宋体" w:hAnsi="宋体" w:eastAsia="宋体" w:cs="宋体"/>
          <w:color w:val="FF0000"/>
          <w:kern w:val="0"/>
          <w:sz w:val="24"/>
          <w:szCs w:val="24"/>
        </w:rPr>
      </w:pPr>
      <w:r>
        <w:rPr>
          <w:rFonts w:ascii="宋体" w:hAnsi="宋体" w:eastAsia="宋体" w:cs="宋体"/>
          <w:color w:val="000000"/>
          <w:kern w:val="0"/>
          <w:sz w:val="24"/>
          <w:szCs w:val="24"/>
        </w:rPr>
        <w:t>上海市儿童医院“</w:t>
      </w:r>
      <w:r>
        <w:rPr>
          <w:rFonts w:hint="eastAsia" w:ascii="宋体" w:hAnsi="宋体" w:eastAsia="宋体" w:cs="宋体"/>
          <w:color w:val="000000"/>
          <w:kern w:val="0"/>
          <w:sz w:val="24"/>
          <w:szCs w:val="24"/>
        </w:rPr>
        <w:t>百日咳杆菌核酸检测（PCR-荧光探针法</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血细胞分析用溶血剂（WDF、WNR血细胞分析用）</w:t>
      </w:r>
      <w:r>
        <w:rPr>
          <w:rFonts w:hint="eastAsia" w:ascii="宋体" w:hAnsi="宋体" w:eastAsia="宋体" w:cs="宋体"/>
          <w:color w:val="000000"/>
          <w:kern w:val="0"/>
          <w:sz w:val="24"/>
          <w:szCs w:val="24"/>
        </w:rPr>
        <w:t>”公开征询供应商，欢迎</w:t>
      </w:r>
      <w:r>
        <w:rPr>
          <w:rFonts w:hint="eastAsia" w:ascii="宋体" w:hAnsi="宋体" w:eastAsia="宋体" w:cs="宋体"/>
          <w:kern w:val="0"/>
          <w:sz w:val="24"/>
          <w:szCs w:val="24"/>
        </w:rPr>
        <w:t>合格供应商前来参加遴选。届时我们将选出合适的产品供应商作为新供应商进行日常采购。</w:t>
      </w:r>
    </w:p>
    <w:p>
      <w:pPr>
        <w:widowControl/>
        <w:wordWrap w:val="0"/>
        <w:spacing w:line="193"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一、</w:t>
      </w:r>
      <w:r>
        <w:rPr>
          <w:rFonts w:hint="eastAsia" w:ascii="宋体" w:hAnsi="宋体" w:eastAsia="宋体" w:cs="宋体"/>
          <w:color w:val="000000"/>
          <w:kern w:val="0"/>
          <w:sz w:val="24"/>
          <w:szCs w:val="24"/>
        </w:rPr>
        <w:t>适用情况：用于临床、检验、病理、筛查等医用试剂。</w:t>
      </w:r>
    </w:p>
    <w:p>
      <w:pPr>
        <w:widowControl/>
        <w:wordWrap w:val="0"/>
        <w:spacing w:line="193" w:lineRule="atLeast"/>
        <w:ind w:left="1560" w:hanging="1560" w:hangingChars="65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二、</w:t>
      </w:r>
      <w:r>
        <w:rPr>
          <w:rFonts w:hint="eastAsia" w:ascii="宋体" w:hAnsi="宋体" w:eastAsia="宋体" w:cs="宋体"/>
          <w:color w:val="000000"/>
          <w:kern w:val="0"/>
          <w:sz w:val="24"/>
          <w:szCs w:val="24"/>
        </w:rPr>
        <w:t>项目名称：</w:t>
      </w:r>
      <w:r>
        <w:rPr>
          <w:rFonts w:hint="eastAsia" w:ascii="宋体" w:hAnsi="宋体" w:eastAsia="宋体" w:cs="宋体"/>
          <w:color w:val="000000"/>
          <w:kern w:val="0"/>
          <w:sz w:val="24"/>
          <w:szCs w:val="24"/>
          <w:lang w:eastAsia="zh-CN"/>
        </w:rPr>
        <w:t>包件一：</w:t>
      </w:r>
      <w:r>
        <w:rPr>
          <w:rFonts w:hint="eastAsia" w:ascii="宋体" w:hAnsi="宋体" w:eastAsia="宋体" w:cs="宋体"/>
          <w:color w:val="000000"/>
          <w:kern w:val="0"/>
          <w:sz w:val="24"/>
          <w:szCs w:val="24"/>
        </w:rPr>
        <w:t>百日咳杆菌核酸检测（PCR-荧光探针法</w:t>
      </w:r>
      <w:r>
        <w:rPr>
          <w:rFonts w:hint="eastAsia" w:ascii="宋体" w:hAnsi="宋体" w:eastAsia="宋体" w:cs="宋体"/>
          <w:color w:val="000000"/>
          <w:kern w:val="0"/>
          <w:sz w:val="24"/>
          <w:szCs w:val="24"/>
          <w:lang w:eastAsia="zh-CN"/>
        </w:rPr>
        <w:t>）</w:t>
      </w:r>
    </w:p>
    <w:p>
      <w:pPr>
        <w:widowControl/>
        <w:wordWrap w:val="0"/>
        <w:spacing w:line="193" w:lineRule="atLeast"/>
        <w:rPr>
          <w:rFonts w:ascii="Calibri" w:hAnsi="Calibri" w:eastAsia="微软雅黑" w:cs="宋体"/>
          <w:color w:val="333333"/>
          <w:kern w:val="0"/>
          <w:szCs w:val="21"/>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lang w:eastAsia="zh-CN"/>
        </w:rPr>
        <w:t>包件二：</w:t>
      </w:r>
      <w:r>
        <w:rPr>
          <w:rFonts w:hint="eastAsia" w:ascii="宋体" w:hAnsi="宋体" w:eastAsia="宋体" w:cs="宋体"/>
          <w:color w:val="000000"/>
          <w:kern w:val="0"/>
          <w:sz w:val="24"/>
          <w:szCs w:val="24"/>
          <w:lang w:val="en-US" w:eastAsia="zh-CN"/>
        </w:rPr>
        <w:t>血细胞分析用溶血剂（WDF、WNR血细胞分析用）</w:t>
      </w:r>
    </w:p>
    <w:p>
      <w:pPr>
        <w:widowControl/>
        <w:numPr>
          <w:ilvl w:val="0"/>
          <w:numId w:val="1"/>
        </w:numPr>
        <w:wordWrap w:val="0"/>
        <w:spacing w:line="193" w:lineRule="atLeast"/>
        <w:rPr>
          <w:rFonts w:hint="eastAsia" w:ascii="宋体" w:hAnsi="宋体" w:eastAsia="宋体" w:cs="宋体"/>
          <w:kern w:val="0"/>
          <w:sz w:val="24"/>
          <w:szCs w:val="24"/>
        </w:rPr>
      </w:pPr>
      <w:r>
        <w:rPr>
          <w:rFonts w:hint="eastAsia" w:ascii="宋体" w:hAnsi="宋体" w:eastAsia="宋体" w:cs="宋体"/>
          <w:kern w:val="0"/>
          <w:sz w:val="24"/>
          <w:szCs w:val="24"/>
        </w:rPr>
        <w:t>技术要求：</w:t>
      </w:r>
    </w:p>
    <w:p>
      <w:pPr>
        <w:widowControl/>
        <w:numPr>
          <w:ilvl w:val="0"/>
          <w:numId w:val="0"/>
        </w:numPr>
        <w:wordWrap w:val="0"/>
        <w:spacing w:line="193" w:lineRule="atLeast"/>
        <w:rPr>
          <w:rFonts w:hint="eastAsia" w:ascii="宋体" w:hAnsi="宋体" w:eastAsia="宋体" w:cs="宋体"/>
          <w:kern w:val="0"/>
          <w:sz w:val="24"/>
          <w:szCs w:val="24"/>
        </w:rPr>
      </w:pPr>
    </w:p>
    <w:p>
      <w:pPr>
        <w:widowControl/>
        <w:wordWrap w:val="0"/>
        <w:spacing w:line="193" w:lineRule="atLeast"/>
        <w:ind w:left="1560" w:hanging="1560" w:hangingChars="65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包件一：</w:t>
      </w:r>
      <w:r>
        <w:rPr>
          <w:rFonts w:hint="eastAsia" w:ascii="宋体" w:hAnsi="宋体" w:eastAsia="宋体" w:cs="宋体"/>
          <w:color w:val="000000"/>
          <w:kern w:val="0"/>
          <w:sz w:val="24"/>
          <w:szCs w:val="24"/>
        </w:rPr>
        <w:t>百日咳杆菌核酸检测（PCR-荧光探针法</w:t>
      </w:r>
      <w:r>
        <w:rPr>
          <w:rFonts w:hint="eastAsia" w:ascii="宋体" w:hAnsi="宋体" w:eastAsia="宋体" w:cs="宋体"/>
          <w:color w:val="000000"/>
          <w:kern w:val="0"/>
          <w:sz w:val="24"/>
          <w:szCs w:val="24"/>
          <w:lang w:eastAsia="zh-CN"/>
        </w:rPr>
        <w:t>）</w:t>
      </w:r>
    </w:p>
    <w:tbl>
      <w:tblPr>
        <w:tblStyle w:val="8"/>
        <w:tblW w:w="487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6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109" w:type="pct"/>
            <w:tcBorders>
              <w:bottom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项目名称</w:t>
            </w:r>
          </w:p>
        </w:tc>
        <w:tc>
          <w:tcPr>
            <w:tcW w:w="3890" w:type="pct"/>
            <w:tcBorders>
              <w:bottom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项目使用要求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109" w:type="pct"/>
            <w:shd w:val="clear" w:color="000000" w:fill="auto"/>
            <w:noWrap/>
            <w:vAlign w:val="center"/>
          </w:tcPr>
          <w:p>
            <w:pPr>
              <w:rPr>
                <w:rFonts w:cs="宋体" w:asciiTheme="minorEastAsia" w:hAnsiTheme="minorEastAsia"/>
                <w:color w:val="000000"/>
                <w:sz w:val="24"/>
                <w:szCs w:val="24"/>
              </w:rPr>
            </w:pPr>
            <w:r>
              <w:rPr>
                <w:rFonts w:hint="eastAsia" w:asciiTheme="minorEastAsia" w:hAnsiTheme="minorEastAsia"/>
                <w:sz w:val="24"/>
                <w:szCs w:val="24"/>
              </w:rPr>
              <w:t>百日咳杆菌核酸检测试剂</w:t>
            </w:r>
          </w:p>
        </w:tc>
        <w:tc>
          <w:tcPr>
            <w:tcW w:w="3890" w:type="pct"/>
            <w:shd w:val="clear" w:color="000000" w:fill="auto"/>
            <w:noWrap/>
            <w:vAlign w:val="center"/>
          </w:tcPr>
          <w:p>
            <w:pPr>
              <w:rPr>
                <w:rFonts w:asciiTheme="minorEastAsia" w:hAnsiTheme="minorEastAsia"/>
                <w:sz w:val="24"/>
                <w:szCs w:val="24"/>
              </w:rPr>
            </w:pPr>
            <w:r>
              <w:rPr>
                <w:rFonts w:hint="eastAsia" w:asciiTheme="minorEastAsia" w:hAnsiTheme="minorEastAsia"/>
                <w:sz w:val="24"/>
                <w:szCs w:val="24"/>
              </w:rPr>
              <w:t>1）应用PCR-荧光探针法，体外定性检测口咽拭子或鼻咽拭子样本中百日咳杆菌核酸。</w:t>
            </w:r>
          </w:p>
          <w:p>
            <w:pPr>
              <w:rPr>
                <w:rFonts w:asciiTheme="minorEastAsia" w:hAnsiTheme="minorEastAsia"/>
                <w:color w:val="000000"/>
                <w:sz w:val="24"/>
                <w:szCs w:val="24"/>
              </w:rPr>
            </w:pPr>
            <w:r>
              <w:rPr>
                <w:rFonts w:hint="eastAsia" w:asciiTheme="minorEastAsia" w:hAnsiTheme="minorEastAsia"/>
                <w:sz w:val="24"/>
                <w:szCs w:val="24"/>
              </w:rPr>
              <w:t>2）试剂包括核酸提取试剂用于提取纯化核酸，核酸反应试剂用于百日咳PCR反应，内标用于验证核酸提取结果，阳性质控品和阴性质控品用于验证实验结果的准确程度。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2"/>
            <w:shd w:val="clear" w:color="000000" w:fill="auto"/>
            <w:noWrap/>
            <w:vAlign w:val="center"/>
          </w:tcPr>
          <w:p>
            <w:pPr>
              <w:rPr>
                <w:rFonts w:asciiTheme="minorEastAsia" w:hAnsiTheme="minorEastAsia"/>
                <w:sz w:val="24"/>
                <w:szCs w:val="24"/>
              </w:rPr>
            </w:pPr>
            <w:r>
              <w:rPr>
                <w:rFonts w:hint="eastAsia" w:asciiTheme="minorEastAsia" w:hAnsiTheme="minorEastAsia"/>
                <w:sz w:val="24"/>
                <w:szCs w:val="24"/>
              </w:rPr>
              <w:t>备注：</w:t>
            </w:r>
            <w:r>
              <w:rPr>
                <w:rFonts w:hint="eastAsia" w:asciiTheme="minorEastAsia" w:hAnsiTheme="minorEastAsia"/>
                <w:color w:val="FF0000"/>
                <w:sz w:val="24"/>
                <w:szCs w:val="24"/>
              </w:rPr>
              <w:t>适用于医院现有的荧光定量PCR仪。预估年使用量1000检测人份</w:t>
            </w:r>
          </w:p>
        </w:tc>
      </w:tr>
    </w:tbl>
    <w:p>
      <w:pPr>
        <w:widowControl/>
        <w:wordWrap w:val="0"/>
        <w:spacing w:line="193" w:lineRule="atLeast"/>
        <w:rPr>
          <w:rFonts w:ascii="宋体" w:hAnsi="宋体" w:eastAsia="宋体" w:cs="宋体"/>
          <w:kern w:val="0"/>
          <w:sz w:val="24"/>
          <w:szCs w:val="24"/>
        </w:rPr>
      </w:pPr>
    </w:p>
    <w:p>
      <w:pPr>
        <w:widowControl/>
        <w:wordWrap w:val="0"/>
        <w:spacing w:line="193" w:lineRule="atLeast"/>
        <w:ind w:left="1560" w:hanging="1560" w:hangingChars="65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包件二：</w:t>
      </w:r>
      <w:r>
        <w:rPr>
          <w:rFonts w:hint="eastAsia" w:ascii="宋体" w:hAnsi="宋体" w:eastAsia="宋体" w:cs="宋体"/>
          <w:color w:val="000000"/>
          <w:kern w:val="0"/>
          <w:sz w:val="24"/>
          <w:szCs w:val="24"/>
          <w:lang w:val="en-US" w:eastAsia="zh-CN"/>
        </w:rPr>
        <w:t>血细胞分析用溶血剂（WDF、WNR血细胞分析用）</w:t>
      </w:r>
    </w:p>
    <w:tbl>
      <w:tblPr>
        <w:tblStyle w:val="8"/>
        <w:tblW w:w="487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6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10" w:type="pct"/>
            <w:tcBorders>
              <w:bottom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项目名称</w:t>
            </w:r>
          </w:p>
        </w:tc>
        <w:tc>
          <w:tcPr>
            <w:tcW w:w="3890" w:type="pct"/>
            <w:tcBorders>
              <w:bottom w:val="single" w:color="auto" w:sz="4" w:space="0"/>
            </w:tcBorders>
            <w:shd w:val="clear" w:color="auto" w:fill="auto"/>
            <w:noWrap/>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项目使用要求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110" w:type="pct"/>
            <w:shd w:val="clear" w:color="000000" w:fill="auto"/>
            <w:noWrap/>
            <w:vAlign w:val="center"/>
          </w:tcPr>
          <w:p>
            <w:pPr>
              <w:rPr>
                <w:rFonts w:cs="宋体" w:asciiTheme="minorEastAsia" w:hAnsiTheme="minorEastAsia"/>
                <w:color w:val="000000"/>
                <w:sz w:val="24"/>
                <w:szCs w:val="24"/>
              </w:rPr>
            </w:pPr>
            <w:r>
              <w:rPr>
                <w:rFonts w:hint="eastAsia" w:ascii="宋体" w:hAnsi="宋体" w:eastAsia="宋体" w:cs="宋体"/>
                <w:color w:val="000000"/>
                <w:kern w:val="0"/>
                <w:sz w:val="24"/>
                <w:szCs w:val="24"/>
                <w:lang w:val="en-US" w:eastAsia="zh-CN"/>
              </w:rPr>
              <w:t>血细胞分析用溶血剂（WDF、WNR血细胞分析用）</w:t>
            </w:r>
          </w:p>
        </w:tc>
        <w:tc>
          <w:tcPr>
            <w:tcW w:w="3890" w:type="pct"/>
            <w:shd w:val="clear" w:color="000000" w:fill="auto"/>
            <w:noWrap/>
            <w:vAlign w:val="center"/>
          </w:tcPr>
          <w:p>
            <w:pPr>
              <w:rPr>
                <w:rFonts w:hint="eastAsia" w:asciiTheme="minorEastAsia" w:hAnsiTheme="minorEastAsia"/>
                <w:sz w:val="24"/>
                <w:szCs w:val="24"/>
              </w:rPr>
            </w:pPr>
            <w:r>
              <w:rPr>
                <w:rFonts w:hint="eastAsia" w:asciiTheme="minorEastAsia" w:hAnsiTheme="minorEastAsia"/>
                <w:sz w:val="24"/>
                <w:szCs w:val="24"/>
              </w:rPr>
              <w:t>①检测方法：全自动血细胞计数；</w:t>
            </w:r>
          </w:p>
          <w:p>
            <w:pPr>
              <w:rPr>
                <w:rFonts w:hint="eastAsia" w:asciiTheme="minorEastAsia" w:hAnsiTheme="minorEastAsia"/>
                <w:sz w:val="24"/>
                <w:szCs w:val="24"/>
              </w:rPr>
            </w:pPr>
            <w:r>
              <w:rPr>
                <w:rFonts w:hint="eastAsia" w:asciiTheme="minorEastAsia" w:hAnsiTheme="minorEastAsia"/>
                <w:sz w:val="24"/>
                <w:szCs w:val="24"/>
              </w:rPr>
              <w:t>②预期用途：用于全自动血细胞计数；</w:t>
            </w:r>
          </w:p>
          <w:p>
            <w:pPr>
              <w:rPr>
                <w:rFonts w:hint="eastAsia" w:asciiTheme="minorEastAsia" w:hAnsiTheme="minorEastAsia"/>
                <w:sz w:val="24"/>
                <w:szCs w:val="24"/>
              </w:rPr>
            </w:pPr>
            <w:r>
              <w:rPr>
                <w:rFonts w:hint="eastAsia" w:asciiTheme="minorEastAsia" w:hAnsiTheme="minorEastAsia"/>
                <w:sz w:val="24"/>
                <w:szCs w:val="24"/>
              </w:rPr>
              <w:t>③检测性能：适配于sysmex全自动血细胞计数仪；</w:t>
            </w:r>
          </w:p>
          <w:p>
            <w:pPr>
              <w:rPr>
                <w:rFonts w:hint="eastAsia" w:asciiTheme="minorEastAsia" w:hAnsiTheme="minorEastAsia"/>
                <w:sz w:val="24"/>
                <w:szCs w:val="24"/>
              </w:rPr>
            </w:pPr>
            <w:r>
              <w:rPr>
                <w:rFonts w:hint="eastAsia" w:asciiTheme="minorEastAsia" w:hAnsiTheme="minorEastAsia"/>
                <w:sz w:val="24"/>
                <w:szCs w:val="24"/>
              </w:rPr>
              <w:t>④需三证齐全：生产许可证、医疗器械注册证或国药准字号、经营许可证；</w:t>
            </w:r>
          </w:p>
          <w:p>
            <w:pPr>
              <w:rPr>
                <w:rFonts w:asciiTheme="minorEastAsia" w:hAnsiTheme="minorEastAsia"/>
                <w:color w:val="000000"/>
                <w:sz w:val="24"/>
                <w:szCs w:val="24"/>
              </w:rPr>
            </w:pPr>
            <w:r>
              <w:rPr>
                <w:rFonts w:hint="eastAsia" w:asciiTheme="minorEastAsia" w:hAnsiTheme="minorEastAsia"/>
                <w:sz w:val="24"/>
                <w:szCs w:val="24"/>
              </w:rPr>
              <w:t>⑤适配仪器：适用于sysmex 以下型号XS-500、XS-800、XN350、XN-2000、XN-1000等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2"/>
            <w:shd w:val="clear" w:color="000000" w:fill="auto"/>
            <w:noWrap/>
            <w:vAlign w:val="center"/>
          </w:tcPr>
          <w:p>
            <w:pPr>
              <w:rPr>
                <w:rFonts w:asciiTheme="minorEastAsia" w:hAnsiTheme="minorEastAsia"/>
                <w:sz w:val="24"/>
                <w:szCs w:val="24"/>
              </w:rPr>
            </w:pPr>
            <w:r>
              <w:rPr>
                <w:rFonts w:hint="eastAsia" w:asciiTheme="minorEastAsia" w:hAnsiTheme="minorEastAsia"/>
                <w:sz w:val="24"/>
                <w:szCs w:val="24"/>
              </w:rPr>
              <w:t>备注：</w:t>
            </w:r>
            <w:r>
              <w:rPr>
                <w:rFonts w:hint="eastAsia" w:ascii="宋体" w:hAnsi="宋体" w:eastAsia="宋体" w:cs="宋体"/>
                <w:color w:val="FF0000"/>
                <w:kern w:val="0"/>
                <w:sz w:val="24"/>
                <w:szCs w:val="24"/>
                <w:lang w:val="en-US" w:eastAsia="zh-CN"/>
              </w:rPr>
              <w:t>WDF、WNR试剂</w:t>
            </w:r>
            <w:r>
              <w:rPr>
                <w:rFonts w:hint="eastAsia" w:asciiTheme="minorEastAsia" w:hAnsiTheme="minorEastAsia"/>
                <w:color w:val="FF0000"/>
                <w:sz w:val="24"/>
                <w:szCs w:val="24"/>
              </w:rPr>
              <w:t>预估年使用量</w:t>
            </w:r>
            <w:r>
              <w:rPr>
                <w:rFonts w:hint="eastAsia" w:asciiTheme="minorEastAsia" w:hAnsiTheme="minorEastAsia"/>
                <w:color w:val="FF0000"/>
                <w:sz w:val="24"/>
                <w:szCs w:val="24"/>
                <w:lang w:eastAsia="zh-CN"/>
              </w:rPr>
              <w:t>分别为</w:t>
            </w:r>
            <w:r>
              <w:rPr>
                <w:rFonts w:hint="eastAsia" w:asciiTheme="minorEastAsia" w:hAnsiTheme="minorEastAsia"/>
                <w:color w:val="FF0000"/>
                <w:sz w:val="24"/>
                <w:szCs w:val="24"/>
                <w:lang w:val="en-US" w:eastAsia="zh-CN"/>
              </w:rPr>
              <w:t>116升</w:t>
            </w:r>
          </w:p>
        </w:tc>
      </w:tr>
    </w:tbl>
    <w:p>
      <w:pPr>
        <w:spacing w:line="300" w:lineRule="auto"/>
        <w:rPr>
          <w:rFonts w:hint="eastAsia" w:asciiTheme="minorEastAsia" w:hAnsiTheme="minorEastAsia"/>
          <w:sz w:val="24"/>
          <w:szCs w:val="24"/>
        </w:rPr>
      </w:pPr>
    </w:p>
    <w:p>
      <w:pPr>
        <w:spacing w:line="300" w:lineRule="auto"/>
        <w:rPr>
          <w:rFonts w:asciiTheme="minorEastAsia" w:hAnsiTheme="minorEastAsia"/>
          <w:sz w:val="24"/>
          <w:szCs w:val="24"/>
        </w:rPr>
      </w:pPr>
      <w:r>
        <w:rPr>
          <w:rFonts w:hint="eastAsia" w:asciiTheme="minorEastAsia" w:hAnsiTheme="minorEastAsia"/>
          <w:sz w:val="24"/>
          <w:szCs w:val="24"/>
        </w:rPr>
        <w:t>1、提供产品清单，包括产品信息和报价。</w:t>
      </w:r>
    </w:p>
    <w:p>
      <w:pPr>
        <w:spacing w:line="300" w:lineRule="auto"/>
        <w:rPr>
          <w:rFonts w:asciiTheme="minorEastAsia" w:hAnsiTheme="minorEastAsia"/>
          <w:sz w:val="24"/>
          <w:szCs w:val="24"/>
        </w:rPr>
      </w:pPr>
      <w:r>
        <w:rPr>
          <w:rFonts w:hint="eastAsia" w:asciiTheme="minorEastAsia" w:hAnsiTheme="minorEastAsia"/>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pPr>
        <w:spacing w:line="300" w:lineRule="auto"/>
        <w:rPr>
          <w:rFonts w:asciiTheme="minorEastAsia" w:hAnsiTheme="minorEastAsia"/>
          <w:sz w:val="24"/>
          <w:szCs w:val="24"/>
        </w:rPr>
      </w:pPr>
      <w:r>
        <w:rPr>
          <w:rFonts w:hint="eastAsia" w:asciiTheme="minorEastAsia" w:hAnsiTheme="minorEastAsia"/>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名称及收费价格信息、单人份价格/项目收费价格、</w:t>
      </w:r>
      <w:r>
        <w:rPr>
          <w:rFonts w:hint="eastAsia" w:asciiTheme="minorEastAsia" w:hAnsiTheme="minorEastAsia"/>
          <w:sz w:val="24"/>
          <w:szCs w:val="24"/>
          <w:lang w:eastAsia="zh-CN"/>
        </w:rPr>
        <w:t>扣</w:t>
      </w:r>
      <w:r>
        <w:rPr>
          <w:rFonts w:hint="eastAsia" w:asciiTheme="minorEastAsia" w:hAnsiTheme="minorEastAsia"/>
          <w:sz w:val="24"/>
          <w:szCs w:val="24"/>
        </w:rPr>
        <w:t>率等。</w:t>
      </w:r>
    </w:p>
    <w:p>
      <w:pPr>
        <w:spacing w:line="300" w:lineRule="auto"/>
        <w:rPr>
          <w:rFonts w:asciiTheme="minorEastAsia" w:hAnsiTheme="minorEastAsia"/>
          <w:sz w:val="24"/>
          <w:szCs w:val="24"/>
        </w:rPr>
      </w:pPr>
      <w:r>
        <w:rPr>
          <w:rFonts w:hint="eastAsia" w:asciiTheme="minorEastAsia" w:hAnsiTheme="minorEastAsia"/>
          <w:sz w:val="24"/>
          <w:szCs w:val="24"/>
        </w:rPr>
        <w:t>2、提供本市三级公立医院试剂价格发票复印件。</w:t>
      </w:r>
    </w:p>
    <w:p>
      <w:pPr>
        <w:spacing w:line="300" w:lineRule="auto"/>
        <w:rPr>
          <w:rFonts w:asciiTheme="minorEastAsia" w:hAnsiTheme="minorEastAsia"/>
          <w:sz w:val="24"/>
          <w:szCs w:val="24"/>
        </w:rPr>
      </w:pPr>
      <w:r>
        <w:rPr>
          <w:rFonts w:hint="eastAsia" w:asciiTheme="minorEastAsia" w:hAnsiTheme="minorEastAsia"/>
          <w:sz w:val="24"/>
          <w:szCs w:val="24"/>
        </w:rPr>
        <w:t>3、试剂价格5年内不得上涨；但受收费政策、新技术发展、应用规模、竞争产品、同行比照等因素影响，应配合价格评估并及时对价格下调。</w:t>
      </w:r>
    </w:p>
    <w:p>
      <w:pPr>
        <w:spacing w:line="300" w:lineRule="auto"/>
        <w:rPr>
          <w:rFonts w:asciiTheme="minorEastAsia" w:hAnsiTheme="minorEastAsia"/>
          <w:sz w:val="24"/>
          <w:szCs w:val="24"/>
        </w:rPr>
      </w:pPr>
      <w:r>
        <w:rPr>
          <w:rFonts w:hint="eastAsia" w:asciiTheme="minorEastAsia" w:hAnsiTheme="minorEastAsia"/>
          <w:sz w:val="24"/>
          <w:szCs w:val="24"/>
        </w:rPr>
        <w:t>4、提供产品资证、相关说明书、存储要求、供应包装与标签等文件。</w:t>
      </w:r>
    </w:p>
    <w:p>
      <w:pPr>
        <w:spacing w:line="300" w:lineRule="auto"/>
        <w:rPr>
          <w:rFonts w:asciiTheme="minorEastAsia" w:hAnsiTheme="minorEastAsia"/>
          <w:sz w:val="24"/>
          <w:szCs w:val="24"/>
        </w:rPr>
      </w:pPr>
      <w:r>
        <w:rPr>
          <w:rFonts w:hint="eastAsia" w:asciiTheme="minorEastAsia" w:hAnsiTheme="minorEastAsia"/>
          <w:sz w:val="24"/>
          <w:szCs w:val="24"/>
        </w:rPr>
        <w:t>（1）所有产品（包括试剂、试剂盒、校准品、质控品、辅助品等）的文件资料必须真实有效，包括但不限于：营业执照、经营许可证、生产许可证、代理授权文件、医疗器械注册证、第一类医疗器械备案凭证、说明书等。</w:t>
      </w:r>
    </w:p>
    <w:p>
      <w:pPr>
        <w:spacing w:line="300" w:lineRule="auto"/>
        <w:rPr>
          <w:rFonts w:asciiTheme="minorEastAsia" w:hAnsiTheme="minorEastAsia"/>
          <w:sz w:val="24"/>
          <w:szCs w:val="24"/>
        </w:rPr>
      </w:pPr>
      <w:r>
        <w:rPr>
          <w:rFonts w:hint="eastAsia" w:asciiTheme="minorEastAsia" w:hAnsiTheme="minorEastAsia"/>
          <w:sz w:val="24"/>
          <w:szCs w:val="24"/>
        </w:rPr>
        <w:t>（2）进口产品，须同时提供原版与中文的相关说明书。</w:t>
      </w:r>
    </w:p>
    <w:p>
      <w:pPr>
        <w:spacing w:line="300" w:lineRule="auto"/>
        <w:rPr>
          <w:rFonts w:asciiTheme="minorEastAsia" w:hAnsiTheme="minorEastAsia"/>
          <w:sz w:val="24"/>
          <w:szCs w:val="24"/>
        </w:rPr>
      </w:pPr>
      <w:r>
        <w:rPr>
          <w:rFonts w:hint="eastAsia" w:asciiTheme="minorEastAsia" w:hAnsiTheme="minorEastAsia"/>
          <w:sz w:val="24"/>
          <w:szCs w:val="24"/>
        </w:rPr>
        <w:t>5、接到院方通知后保证24小时内配送到达服务，保障临床需求。</w:t>
      </w:r>
    </w:p>
    <w:p>
      <w:pPr>
        <w:spacing w:line="300" w:lineRule="auto"/>
        <w:rPr>
          <w:rFonts w:asciiTheme="minorEastAsia" w:hAnsiTheme="minorEastAsia"/>
          <w:sz w:val="24"/>
          <w:szCs w:val="24"/>
        </w:rPr>
      </w:pPr>
      <w:r>
        <w:rPr>
          <w:rFonts w:hint="eastAsia" w:asciiTheme="minorEastAsia" w:hAnsiTheme="minorEastAsia"/>
          <w:sz w:val="24"/>
          <w:szCs w:val="24"/>
        </w:rPr>
        <w:t>6、提供的产品需符合国家关于质量、运输、存储、安全的规定与要求，并通过实验室质量管理要求的相关性能验证。</w:t>
      </w:r>
    </w:p>
    <w:p>
      <w:pPr>
        <w:spacing w:line="300" w:lineRule="auto"/>
        <w:rPr>
          <w:rFonts w:asciiTheme="minorEastAsia" w:hAnsiTheme="minorEastAsia"/>
          <w:sz w:val="24"/>
          <w:szCs w:val="24"/>
        </w:rPr>
      </w:pPr>
      <w:r>
        <w:rPr>
          <w:rFonts w:hint="eastAsia" w:asciiTheme="minorEastAsia" w:hAnsiTheme="minorEastAsia"/>
          <w:sz w:val="24"/>
          <w:szCs w:val="24"/>
        </w:rPr>
        <w:t>7、提供完善的培训、指导等技术支持，保障临床应用。</w:t>
      </w:r>
    </w:p>
    <w:p>
      <w:pPr>
        <w:spacing w:line="300" w:lineRule="auto"/>
        <w:rPr>
          <w:rFonts w:asciiTheme="minorEastAsia" w:hAnsiTheme="minorEastAsia"/>
          <w:sz w:val="24"/>
          <w:szCs w:val="24"/>
        </w:rPr>
      </w:pPr>
      <w:r>
        <w:rPr>
          <w:rFonts w:hint="eastAsia" w:asciiTheme="minorEastAsia" w:hAnsiTheme="minorEastAsia"/>
          <w:sz w:val="24"/>
          <w:szCs w:val="24"/>
        </w:rPr>
        <w:t>8、提供完善的应急预案，以保证出现突发或意外情况时，不影响院方的正常工作。应急预案应包括：产品的应急、物流的应急等。</w:t>
      </w:r>
    </w:p>
    <w:p>
      <w:pPr>
        <w:spacing w:line="300" w:lineRule="auto"/>
        <w:rPr>
          <w:rFonts w:asciiTheme="minorEastAsia" w:hAnsiTheme="minorEastAsia"/>
          <w:sz w:val="24"/>
          <w:szCs w:val="24"/>
        </w:rPr>
      </w:pPr>
      <w:r>
        <w:rPr>
          <w:rFonts w:hint="eastAsia" w:asciiTheme="minorEastAsia" w:hAnsiTheme="minorEastAsia"/>
          <w:sz w:val="24"/>
          <w:szCs w:val="24"/>
        </w:rPr>
        <w:t>9、保障产品质量并及时供应，并接受院方因为临床需求变更、产品升级及其它质量、价格等变化而提出的服务期结束要求。</w:t>
      </w:r>
    </w:p>
    <w:p>
      <w:pPr>
        <w:spacing w:line="300" w:lineRule="auto"/>
        <w:rPr>
          <w:rFonts w:asciiTheme="minorEastAsia" w:hAnsiTheme="minorEastAsia"/>
          <w:sz w:val="24"/>
          <w:szCs w:val="24"/>
        </w:rPr>
      </w:pPr>
      <w:r>
        <w:rPr>
          <w:rFonts w:hint="eastAsia" w:asciiTheme="minorEastAsia" w:hAnsiTheme="minorEastAsia"/>
          <w:sz w:val="24"/>
          <w:szCs w:val="24"/>
        </w:rPr>
        <w:t>10、院方在实际使用过程中，若发现无效产品，或出现产品与医疗器械注册证等相关证明文件的信息不相符的情况，供应商须无偿补足损耗并承担相应责任。</w:t>
      </w:r>
    </w:p>
    <w:p>
      <w:pPr>
        <w:spacing w:line="300" w:lineRule="auto"/>
        <w:rPr>
          <w:rFonts w:asciiTheme="minorEastAsia" w:hAnsiTheme="minorEastAsia"/>
          <w:sz w:val="24"/>
          <w:szCs w:val="24"/>
        </w:rPr>
      </w:pPr>
      <w:r>
        <w:rPr>
          <w:rFonts w:hint="eastAsia" w:asciiTheme="minorEastAsia" w:hAnsiTheme="minorEastAsia"/>
          <w:sz w:val="24"/>
          <w:szCs w:val="24"/>
        </w:rPr>
        <w:t>11、院方在实际使用过程中，若发现有不合格产品，供应商须对所有剩余产品进行无条件更换。</w:t>
      </w:r>
    </w:p>
    <w:p>
      <w:pPr>
        <w:spacing w:line="300" w:lineRule="auto"/>
        <w:rPr>
          <w:rFonts w:asciiTheme="minorEastAsia" w:hAnsiTheme="minorEastAsia"/>
          <w:sz w:val="24"/>
          <w:szCs w:val="24"/>
        </w:rPr>
      </w:pPr>
      <w:r>
        <w:rPr>
          <w:rFonts w:hint="eastAsia" w:asciiTheme="minorEastAsia" w:hAnsiTheme="minorEastAsia"/>
          <w:sz w:val="24"/>
          <w:szCs w:val="24"/>
        </w:rPr>
        <w:t>12、供应商所供货物自用户验收之日起计算，剩余有效期要求≥6个月；对有效期≤6个月的货物，供应商须在产品有效期内提供无条件更换服务。</w:t>
      </w:r>
    </w:p>
    <w:p>
      <w:pPr>
        <w:spacing w:line="300" w:lineRule="auto"/>
        <w:rPr>
          <w:rFonts w:asciiTheme="minorEastAsia" w:hAnsiTheme="minorEastAsia"/>
          <w:sz w:val="24"/>
          <w:szCs w:val="24"/>
        </w:rPr>
      </w:pPr>
      <w:r>
        <w:rPr>
          <w:rFonts w:hint="eastAsia" w:asciiTheme="minorEastAsia" w:hAnsiTheme="minorEastAsia"/>
          <w:sz w:val="24"/>
          <w:szCs w:val="24"/>
        </w:rPr>
        <w:t>13、积极配合院方完成相关质控工作。</w:t>
      </w:r>
    </w:p>
    <w:p>
      <w:pPr>
        <w:spacing w:line="300" w:lineRule="auto"/>
        <w:rPr>
          <w:rFonts w:asciiTheme="minorEastAsia" w:hAnsiTheme="minorEastAsia"/>
          <w:sz w:val="24"/>
          <w:szCs w:val="24"/>
        </w:rPr>
      </w:pPr>
      <w:r>
        <w:rPr>
          <w:rFonts w:hint="eastAsia" w:asciiTheme="minorEastAsia" w:hAnsiTheme="minorEastAsia"/>
          <w:sz w:val="24"/>
          <w:szCs w:val="24"/>
        </w:rPr>
        <w:t>14、产品在上海市临检中心室间质控检测中出现不合格的，院方有权废除其中选资格，结束其服务，且由此产生的费用由供应商承担。</w:t>
      </w:r>
    </w:p>
    <w:p>
      <w:pPr>
        <w:spacing w:line="300" w:lineRule="auto"/>
        <w:rPr>
          <w:rFonts w:asciiTheme="minorEastAsia" w:hAnsiTheme="minorEastAsia"/>
          <w:sz w:val="24"/>
          <w:szCs w:val="24"/>
        </w:rPr>
      </w:pPr>
      <w:r>
        <w:rPr>
          <w:rFonts w:hint="eastAsia" w:asciiTheme="minorEastAsia" w:hAnsiTheme="minorEastAsia"/>
          <w:sz w:val="24"/>
          <w:szCs w:val="24"/>
        </w:rPr>
        <w:t>15、若因产品质量问题或技术支持不够完善，引起的患者伤害及一切不良后果，供应商将承担由此引发的全部法律责任及经济赔偿。</w:t>
      </w:r>
    </w:p>
    <w:p>
      <w:pPr>
        <w:spacing w:line="300" w:lineRule="auto"/>
        <w:rPr>
          <w:rFonts w:hint="eastAsia" w:asciiTheme="minorEastAsia" w:hAnsiTheme="minorEastAsia"/>
          <w:sz w:val="24"/>
          <w:szCs w:val="24"/>
        </w:rPr>
      </w:pPr>
      <w:r>
        <w:rPr>
          <w:rFonts w:hint="eastAsia" w:asciiTheme="minorEastAsia" w:hAnsiTheme="minorEastAsia"/>
          <w:sz w:val="24"/>
          <w:szCs w:val="24"/>
          <w:lang w:val="en-US" w:eastAsia="zh-CN"/>
        </w:rPr>
        <w:t>16</w:t>
      </w:r>
      <w:r>
        <w:rPr>
          <w:rFonts w:hint="eastAsia" w:asciiTheme="minorEastAsia" w:hAnsiTheme="minorEastAsia"/>
          <w:sz w:val="24"/>
          <w:szCs w:val="24"/>
        </w:rPr>
        <w:t>．报价一览表（公司须按照如下报价要求进行报价）</w:t>
      </w:r>
    </w:p>
    <w:p>
      <w:pPr>
        <w:spacing w:line="300" w:lineRule="auto"/>
        <w:rPr>
          <w:rFonts w:hint="eastAsia" w:asciiTheme="minorEastAsia" w:hAnsiTheme="minorEastAsia"/>
          <w:sz w:val="24"/>
          <w:szCs w:val="24"/>
        </w:rPr>
      </w:pPr>
      <w:r>
        <w:rPr>
          <w:rFonts w:hint="eastAsia" w:asciiTheme="minorEastAsia" w:hAnsiTheme="minorEastAsia"/>
          <w:sz w:val="24"/>
          <w:szCs w:val="24"/>
        </w:rPr>
        <w:t>（说明：若试剂为非人份包装，单人份投标价格需按照每毫升报价除以厂家说明书注明的每毫升理论测试数提供）</w:t>
      </w:r>
    </w:p>
    <w:p>
      <w:pPr>
        <w:widowControl/>
        <w:wordWrap w:val="0"/>
        <w:spacing w:line="193" w:lineRule="atLeast"/>
        <w:rPr>
          <w:rFonts w:hint="eastAsia" w:ascii="宋体" w:hAnsi="宋体" w:eastAsia="宋体" w:cs="宋体"/>
          <w:kern w:val="0"/>
          <w:szCs w:val="21"/>
        </w:rPr>
      </w:pPr>
    </w:p>
    <w:tbl>
      <w:tblPr>
        <w:tblStyle w:val="8"/>
        <w:tblpPr w:leftFromText="180" w:rightFromText="180" w:vertAnchor="text" w:horzAnchor="margin" w:tblpXSpec="center" w:tblpY="41"/>
        <w:tblOverlap w:val="never"/>
        <w:tblW w:w="98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spacing w:line="360" w:lineRule="auto"/>
              <w:jc w:val="center"/>
              <w:rPr>
                <w:rFonts w:ascii="宋体" w:hAnsi="宋体"/>
                <w:color w:val="auto"/>
                <w:sz w:val="22"/>
              </w:rPr>
            </w:pPr>
            <w:r>
              <w:rPr>
                <w:rFonts w:hint="eastAsia" w:ascii="宋体" w:hAnsi="宋体"/>
                <w:color w:val="auto"/>
                <w:sz w:val="22"/>
              </w:rPr>
              <w:t>序号</w:t>
            </w:r>
          </w:p>
        </w:tc>
        <w:tc>
          <w:tcPr>
            <w:tcW w:w="471" w:type="dxa"/>
            <w:vMerge w:val="restart"/>
          </w:tcPr>
          <w:p>
            <w:pPr>
              <w:jc w:val="center"/>
              <w:rPr>
                <w:rFonts w:hint="eastAsia" w:ascii="宋体" w:hAnsi="宋体"/>
                <w:color w:val="auto"/>
                <w:sz w:val="22"/>
              </w:rPr>
            </w:pPr>
            <w:r>
              <w:rPr>
                <w:rFonts w:hint="eastAsia" w:ascii="宋体" w:hAnsi="宋体"/>
                <w:color w:val="auto"/>
                <w:sz w:val="22"/>
              </w:rPr>
              <w:t>项目名称</w:t>
            </w:r>
          </w:p>
        </w:tc>
        <w:tc>
          <w:tcPr>
            <w:tcW w:w="471" w:type="dxa"/>
            <w:vMerge w:val="restart"/>
          </w:tcPr>
          <w:p>
            <w:pPr>
              <w:jc w:val="center"/>
              <w:rPr>
                <w:rFonts w:hint="eastAsia" w:ascii="宋体" w:hAnsi="宋体"/>
                <w:color w:val="auto"/>
                <w:sz w:val="22"/>
              </w:rPr>
            </w:pPr>
            <w:r>
              <w:rPr>
                <w:rFonts w:hint="eastAsia" w:ascii="宋体" w:hAnsi="宋体" w:eastAsia="宋体" w:cs="宋体"/>
                <w:color w:val="auto"/>
                <w:kern w:val="0"/>
                <w:szCs w:val="21"/>
              </w:rPr>
              <w:t>年应用量（估计）</w:t>
            </w:r>
          </w:p>
        </w:tc>
        <w:tc>
          <w:tcPr>
            <w:tcW w:w="471" w:type="dxa"/>
            <w:vMerge w:val="restart"/>
            <w:vAlign w:val="center"/>
          </w:tcPr>
          <w:p>
            <w:pPr>
              <w:widowControl/>
              <w:jc w:val="center"/>
              <w:rPr>
                <w:rFonts w:ascii="宋体" w:hAnsi="宋体"/>
                <w:color w:val="auto"/>
                <w:sz w:val="22"/>
              </w:rPr>
            </w:pPr>
            <w:r>
              <w:rPr>
                <w:rFonts w:hint="eastAsia" w:ascii="宋体" w:hAnsi="宋体"/>
                <w:color w:val="auto"/>
                <w:sz w:val="22"/>
              </w:rPr>
              <w:t>投标试剂注册证名称</w:t>
            </w:r>
          </w:p>
        </w:tc>
        <w:tc>
          <w:tcPr>
            <w:tcW w:w="1308" w:type="dxa"/>
            <w:gridSpan w:val="3"/>
            <w:vAlign w:val="center"/>
          </w:tcPr>
          <w:p>
            <w:pPr>
              <w:widowControl/>
              <w:jc w:val="center"/>
              <w:rPr>
                <w:rFonts w:hint="eastAsia" w:ascii="宋体" w:hAnsi="宋体"/>
                <w:color w:val="auto"/>
                <w:sz w:val="22"/>
              </w:rPr>
            </w:pPr>
            <w:r>
              <w:rPr>
                <w:rFonts w:hint="eastAsia" w:ascii="宋体" w:hAnsi="宋体"/>
                <w:color w:val="auto"/>
                <w:sz w:val="22"/>
              </w:rPr>
              <w:t>用途类型</w:t>
            </w:r>
            <w:r>
              <w:rPr>
                <w:rFonts w:ascii="宋体" w:hAnsi="宋体"/>
                <w:color w:val="auto"/>
                <w:sz w:val="22"/>
              </w:rPr>
              <w:br w:type="textWrapping"/>
            </w:r>
            <w:r>
              <w:rPr>
                <w:rFonts w:hint="eastAsia" w:ascii="宋体" w:hAnsi="宋体"/>
                <w:color w:val="auto"/>
                <w:sz w:val="22"/>
              </w:rPr>
              <w:t>（勾选）</w:t>
            </w:r>
          </w:p>
        </w:tc>
        <w:tc>
          <w:tcPr>
            <w:tcW w:w="662" w:type="dxa"/>
            <w:vMerge w:val="restart"/>
            <w:vAlign w:val="center"/>
          </w:tcPr>
          <w:p>
            <w:pPr>
              <w:widowControl/>
              <w:jc w:val="center"/>
              <w:rPr>
                <w:rFonts w:ascii="宋体" w:hAnsi="宋体"/>
                <w:color w:val="auto"/>
                <w:sz w:val="22"/>
              </w:rPr>
            </w:pPr>
            <w:r>
              <w:rPr>
                <w:rFonts w:hint="eastAsia" w:ascii="宋体" w:hAnsi="宋体"/>
                <w:color w:val="auto"/>
                <w:sz w:val="22"/>
              </w:rPr>
              <w:t>试剂规格（按注册证填写）</w:t>
            </w:r>
          </w:p>
        </w:tc>
        <w:tc>
          <w:tcPr>
            <w:tcW w:w="609" w:type="dxa"/>
            <w:vMerge w:val="restart"/>
          </w:tcPr>
          <w:p>
            <w:pPr>
              <w:widowControl/>
              <w:spacing w:line="252" w:lineRule="atLeast"/>
              <w:rPr>
                <w:rFonts w:ascii="Calibri" w:hAnsi="Calibri" w:eastAsia="宋体" w:cs="宋体"/>
                <w:color w:val="auto"/>
                <w:kern w:val="0"/>
                <w:szCs w:val="21"/>
              </w:rPr>
            </w:pPr>
            <w:r>
              <w:rPr>
                <w:rFonts w:hint="eastAsia" w:ascii="宋体" w:hAnsi="宋体" w:eastAsia="宋体" w:cs="宋体"/>
                <w:color w:val="auto"/>
                <w:kern w:val="0"/>
                <w:szCs w:val="21"/>
              </w:rPr>
              <w:t>注册证号/</w:t>
            </w:r>
            <w:r>
              <w:rPr>
                <w:rFonts w:hint="eastAsia" w:ascii="宋体" w:hAnsi="宋体"/>
                <w:color w:val="auto"/>
                <w:sz w:val="24"/>
              </w:rPr>
              <w:t>一类备案凭证</w:t>
            </w:r>
            <w:r>
              <w:rPr>
                <w:rFonts w:hint="eastAsia" w:ascii="宋体" w:hAnsi="宋体" w:eastAsia="宋体" w:cs="宋体"/>
                <w:color w:val="auto"/>
                <w:kern w:val="0"/>
                <w:szCs w:val="21"/>
              </w:rPr>
              <w:t>号</w:t>
            </w:r>
          </w:p>
        </w:tc>
        <w:tc>
          <w:tcPr>
            <w:tcW w:w="378" w:type="dxa"/>
            <w:vMerge w:val="restart"/>
            <w:vAlign w:val="center"/>
          </w:tcPr>
          <w:p>
            <w:pPr>
              <w:widowControl/>
              <w:jc w:val="center"/>
              <w:rPr>
                <w:rFonts w:hint="eastAsia" w:ascii="宋体" w:hAnsi="宋体"/>
                <w:color w:val="auto"/>
                <w:sz w:val="22"/>
              </w:rPr>
            </w:pPr>
            <w:r>
              <w:rPr>
                <w:rFonts w:hint="eastAsia" w:ascii="宋体" w:hAnsi="宋体"/>
                <w:color w:val="auto"/>
                <w:sz w:val="22"/>
              </w:rPr>
              <w:t>生产厂家名称</w:t>
            </w:r>
          </w:p>
        </w:tc>
        <w:tc>
          <w:tcPr>
            <w:tcW w:w="662" w:type="dxa"/>
            <w:vMerge w:val="restart"/>
            <w:vAlign w:val="center"/>
          </w:tcPr>
          <w:p>
            <w:pPr>
              <w:widowControl/>
              <w:jc w:val="center"/>
              <w:rPr>
                <w:rFonts w:ascii="宋体" w:hAnsi="宋体"/>
                <w:color w:val="auto"/>
                <w:sz w:val="22"/>
              </w:rPr>
            </w:pPr>
            <w:r>
              <w:rPr>
                <w:rFonts w:hint="eastAsia" w:ascii="宋体" w:hAnsi="宋体"/>
                <w:color w:val="auto"/>
                <w:sz w:val="22"/>
              </w:rPr>
              <w:t>最小订货单元报价（元/盒等）</w:t>
            </w:r>
          </w:p>
        </w:tc>
        <w:tc>
          <w:tcPr>
            <w:tcW w:w="695" w:type="dxa"/>
            <w:vMerge w:val="restart"/>
            <w:vAlign w:val="center"/>
          </w:tcPr>
          <w:p>
            <w:pPr>
              <w:widowControl/>
              <w:jc w:val="center"/>
              <w:rPr>
                <w:rFonts w:ascii="宋体" w:hAnsi="宋体" w:cs="宋体"/>
                <w:b/>
                <w:bCs/>
                <w:color w:val="auto"/>
                <w:kern w:val="0"/>
                <w:sz w:val="22"/>
              </w:rPr>
            </w:pPr>
            <w:r>
              <w:rPr>
                <w:rFonts w:hint="eastAsia" w:ascii="宋体" w:hAnsi="宋体"/>
                <w:color w:val="auto"/>
                <w:sz w:val="22"/>
              </w:rPr>
              <w:t>每订货单元标准测试数（人份/瓶，盒）</w:t>
            </w:r>
          </w:p>
        </w:tc>
        <w:tc>
          <w:tcPr>
            <w:tcW w:w="656" w:type="dxa"/>
            <w:vMerge w:val="restart"/>
            <w:vAlign w:val="center"/>
          </w:tcPr>
          <w:p>
            <w:pPr>
              <w:widowControl/>
              <w:jc w:val="center"/>
              <w:rPr>
                <w:rFonts w:ascii="宋体" w:hAnsi="宋体" w:cs="宋体"/>
                <w:b/>
                <w:bCs/>
                <w:color w:val="auto"/>
                <w:kern w:val="0"/>
                <w:sz w:val="22"/>
              </w:rPr>
            </w:pPr>
            <w:r>
              <w:rPr>
                <w:rFonts w:hint="eastAsia" w:ascii="宋体" w:hAnsi="宋体"/>
                <w:color w:val="auto"/>
                <w:sz w:val="22"/>
              </w:rPr>
              <w:t>包装规格（*瓶/盒，*ml/瓶等）</w:t>
            </w:r>
          </w:p>
        </w:tc>
        <w:tc>
          <w:tcPr>
            <w:tcW w:w="656" w:type="dxa"/>
            <w:vMerge w:val="restart"/>
            <w:vAlign w:val="center"/>
          </w:tcPr>
          <w:p>
            <w:pPr>
              <w:widowControl/>
              <w:jc w:val="center"/>
              <w:rPr>
                <w:rFonts w:ascii="宋体" w:hAnsi="宋体" w:cs="宋体"/>
                <w:b/>
                <w:bCs/>
                <w:color w:val="auto"/>
                <w:kern w:val="0"/>
                <w:sz w:val="22"/>
              </w:rPr>
            </w:pPr>
            <w:r>
              <w:rPr>
                <w:rFonts w:hint="eastAsia" w:ascii="宋体" w:hAnsi="宋体"/>
                <w:color w:val="auto"/>
                <w:sz w:val="22"/>
              </w:rPr>
              <w:t>单人份投标价（元/人份）</w:t>
            </w:r>
          </w:p>
        </w:tc>
        <w:tc>
          <w:tcPr>
            <w:tcW w:w="510" w:type="dxa"/>
            <w:vMerge w:val="restart"/>
            <w:vAlign w:val="center"/>
          </w:tcPr>
          <w:p>
            <w:pPr>
              <w:spacing w:line="360" w:lineRule="auto"/>
              <w:jc w:val="center"/>
              <w:rPr>
                <w:rFonts w:ascii="宋体" w:hAnsi="宋体"/>
                <w:color w:val="auto"/>
                <w:sz w:val="22"/>
              </w:rPr>
            </w:pPr>
            <w:r>
              <w:rPr>
                <w:rFonts w:hint="eastAsia" w:ascii="宋体" w:hAnsi="宋体"/>
                <w:color w:val="auto"/>
                <w:sz w:val="22"/>
              </w:rPr>
              <w:t>项目收费代码</w:t>
            </w:r>
          </w:p>
        </w:tc>
        <w:tc>
          <w:tcPr>
            <w:tcW w:w="508" w:type="dxa"/>
            <w:vMerge w:val="restart"/>
            <w:vAlign w:val="center"/>
          </w:tcPr>
          <w:p>
            <w:pPr>
              <w:spacing w:line="360" w:lineRule="auto"/>
              <w:rPr>
                <w:rFonts w:hint="eastAsia" w:ascii="宋体" w:hAnsi="宋体"/>
                <w:color w:val="auto"/>
                <w:sz w:val="22"/>
              </w:rPr>
            </w:pPr>
            <w:r>
              <w:rPr>
                <w:rFonts w:hint="eastAsia" w:ascii="宋体" w:hAnsi="宋体"/>
                <w:color w:val="auto"/>
                <w:sz w:val="22"/>
              </w:rPr>
              <w:t>项目收费名称</w:t>
            </w:r>
          </w:p>
        </w:tc>
        <w:tc>
          <w:tcPr>
            <w:tcW w:w="659" w:type="dxa"/>
            <w:vMerge w:val="restart"/>
            <w:vAlign w:val="center"/>
          </w:tcPr>
          <w:p>
            <w:pPr>
              <w:spacing w:line="360" w:lineRule="auto"/>
              <w:jc w:val="center"/>
              <w:rPr>
                <w:rFonts w:ascii="宋体" w:hAnsi="宋体"/>
                <w:color w:val="auto"/>
                <w:sz w:val="22"/>
              </w:rPr>
            </w:pPr>
            <w:r>
              <w:rPr>
                <w:rFonts w:hint="eastAsia" w:ascii="宋体" w:hAnsi="宋体"/>
                <w:color w:val="auto"/>
                <w:sz w:val="22"/>
              </w:rPr>
              <w:t>项目收费价格（元/人份）</w:t>
            </w:r>
          </w:p>
        </w:tc>
        <w:tc>
          <w:tcPr>
            <w:tcW w:w="712" w:type="dxa"/>
            <w:vMerge w:val="restart"/>
            <w:vAlign w:val="center"/>
          </w:tcPr>
          <w:p>
            <w:pPr>
              <w:widowControl/>
              <w:jc w:val="center"/>
              <w:rPr>
                <w:rFonts w:ascii="宋体" w:hAnsi="宋体" w:cs="宋体"/>
                <w:b/>
                <w:bCs/>
                <w:color w:val="000000"/>
                <w:kern w:val="0"/>
                <w:sz w:val="22"/>
              </w:rPr>
            </w:pPr>
            <w:r>
              <w:rPr>
                <w:rFonts w:hint="eastAsia" w:ascii="宋体" w:hAnsi="宋体"/>
                <w:color w:val="000000"/>
                <w:sz w:val="22"/>
              </w:rPr>
              <w:t>扣率（折扣率=单人份价/项目收费价）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spacing w:line="360" w:lineRule="auto"/>
              <w:jc w:val="center"/>
              <w:rPr>
                <w:rFonts w:hint="eastAsia" w:ascii="宋体" w:hAnsi="宋体"/>
                <w:color w:val="000000"/>
                <w:sz w:val="22"/>
              </w:rPr>
            </w:pPr>
          </w:p>
        </w:tc>
        <w:tc>
          <w:tcPr>
            <w:tcW w:w="471" w:type="dxa"/>
            <w:vMerge w:val="continue"/>
          </w:tcPr>
          <w:p>
            <w:pPr>
              <w:widowControl/>
              <w:jc w:val="center"/>
              <w:rPr>
                <w:rFonts w:hint="eastAsia" w:ascii="宋体" w:hAnsi="宋体"/>
                <w:color w:val="000000"/>
                <w:sz w:val="22"/>
              </w:rPr>
            </w:pPr>
          </w:p>
        </w:tc>
        <w:tc>
          <w:tcPr>
            <w:tcW w:w="471" w:type="dxa"/>
            <w:vMerge w:val="continue"/>
          </w:tcPr>
          <w:p>
            <w:pPr>
              <w:widowControl/>
              <w:jc w:val="center"/>
              <w:rPr>
                <w:rFonts w:hint="eastAsia" w:ascii="宋体" w:hAnsi="宋体"/>
                <w:color w:val="000000"/>
                <w:sz w:val="22"/>
              </w:rPr>
            </w:pPr>
          </w:p>
        </w:tc>
        <w:tc>
          <w:tcPr>
            <w:tcW w:w="471" w:type="dxa"/>
            <w:vMerge w:val="continue"/>
            <w:vAlign w:val="center"/>
          </w:tcPr>
          <w:p>
            <w:pPr>
              <w:widowControl/>
              <w:jc w:val="center"/>
              <w:rPr>
                <w:rFonts w:hint="eastAsia" w:ascii="宋体" w:hAnsi="宋体"/>
                <w:color w:val="000000"/>
                <w:sz w:val="22"/>
              </w:rPr>
            </w:pPr>
          </w:p>
        </w:tc>
        <w:tc>
          <w:tcPr>
            <w:tcW w:w="436" w:type="dxa"/>
            <w:vAlign w:val="center"/>
          </w:tcPr>
          <w:p>
            <w:pPr>
              <w:widowControl/>
              <w:jc w:val="center"/>
              <w:rPr>
                <w:rFonts w:ascii="宋体" w:hAnsi="宋体"/>
                <w:color w:val="000000"/>
                <w:sz w:val="22"/>
              </w:rPr>
            </w:pPr>
            <w:r>
              <w:rPr>
                <w:rFonts w:hint="eastAsia" w:ascii="宋体" w:hAnsi="宋体"/>
                <w:color w:val="000000"/>
                <w:sz w:val="22"/>
              </w:rPr>
              <w:t>主试剂</w:t>
            </w:r>
          </w:p>
        </w:tc>
        <w:tc>
          <w:tcPr>
            <w:tcW w:w="436" w:type="dxa"/>
            <w:vAlign w:val="center"/>
          </w:tcPr>
          <w:p>
            <w:pPr>
              <w:widowControl/>
              <w:jc w:val="center"/>
              <w:rPr>
                <w:rFonts w:ascii="宋体" w:hAnsi="宋体"/>
                <w:color w:val="000000"/>
                <w:sz w:val="22"/>
              </w:rPr>
            </w:pPr>
            <w:r>
              <w:rPr>
                <w:rFonts w:hint="eastAsia" w:ascii="宋体" w:hAnsi="宋体"/>
                <w:color w:val="000000"/>
                <w:sz w:val="22"/>
              </w:rPr>
              <w:t>辅助试剂</w:t>
            </w:r>
          </w:p>
        </w:tc>
        <w:tc>
          <w:tcPr>
            <w:tcW w:w="436" w:type="dxa"/>
            <w:vAlign w:val="center"/>
          </w:tcPr>
          <w:p>
            <w:pPr>
              <w:widowControl/>
              <w:jc w:val="center"/>
              <w:rPr>
                <w:rFonts w:ascii="宋体" w:hAnsi="宋体"/>
                <w:color w:val="000000"/>
                <w:sz w:val="22"/>
              </w:rPr>
            </w:pPr>
            <w:r>
              <w:rPr>
                <w:rFonts w:hint="eastAsia" w:ascii="宋体" w:hAnsi="宋体"/>
                <w:color w:val="000000"/>
                <w:sz w:val="22"/>
              </w:rPr>
              <w:t>质控品</w:t>
            </w:r>
          </w:p>
        </w:tc>
        <w:tc>
          <w:tcPr>
            <w:tcW w:w="662" w:type="dxa"/>
            <w:vMerge w:val="continue"/>
            <w:vAlign w:val="center"/>
          </w:tcPr>
          <w:p>
            <w:pPr>
              <w:widowControl/>
              <w:jc w:val="center"/>
              <w:rPr>
                <w:rFonts w:hint="eastAsia" w:ascii="宋体" w:hAnsi="宋体"/>
                <w:color w:val="000000"/>
                <w:sz w:val="22"/>
              </w:rPr>
            </w:pPr>
          </w:p>
        </w:tc>
        <w:tc>
          <w:tcPr>
            <w:tcW w:w="609" w:type="dxa"/>
            <w:vMerge w:val="continue"/>
            <w:vAlign w:val="center"/>
          </w:tcPr>
          <w:p>
            <w:pPr>
              <w:widowControl/>
              <w:jc w:val="center"/>
              <w:rPr>
                <w:rFonts w:hint="eastAsia" w:ascii="宋体" w:hAnsi="宋体"/>
                <w:color w:val="000000"/>
                <w:sz w:val="22"/>
              </w:rPr>
            </w:pPr>
          </w:p>
        </w:tc>
        <w:tc>
          <w:tcPr>
            <w:tcW w:w="378" w:type="dxa"/>
            <w:vMerge w:val="continue"/>
            <w:vAlign w:val="center"/>
          </w:tcPr>
          <w:p>
            <w:pPr>
              <w:widowControl/>
              <w:jc w:val="center"/>
              <w:rPr>
                <w:rFonts w:hint="eastAsia" w:ascii="宋体" w:hAnsi="宋体"/>
                <w:color w:val="000000"/>
                <w:sz w:val="22"/>
              </w:rPr>
            </w:pPr>
          </w:p>
        </w:tc>
        <w:tc>
          <w:tcPr>
            <w:tcW w:w="662" w:type="dxa"/>
            <w:vMerge w:val="continue"/>
            <w:vAlign w:val="center"/>
          </w:tcPr>
          <w:p>
            <w:pPr>
              <w:widowControl/>
              <w:jc w:val="center"/>
              <w:rPr>
                <w:rFonts w:hint="eastAsia" w:ascii="宋体" w:hAnsi="宋体"/>
                <w:color w:val="000000"/>
                <w:sz w:val="22"/>
              </w:rPr>
            </w:pPr>
          </w:p>
        </w:tc>
        <w:tc>
          <w:tcPr>
            <w:tcW w:w="695" w:type="dxa"/>
            <w:vMerge w:val="continue"/>
            <w:vAlign w:val="center"/>
          </w:tcPr>
          <w:p>
            <w:pPr>
              <w:widowControl/>
              <w:jc w:val="center"/>
              <w:rPr>
                <w:rFonts w:hint="eastAsia" w:ascii="宋体" w:hAnsi="宋体"/>
                <w:color w:val="000000"/>
                <w:sz w:val="22"/>
              </w:rPr>
            </w:pPr>
          </w:p>
        </w:tc>
        <w:tc>
          <w:tcPr>
            <w:tcW w:w="656" w:type="dxa"/>
            <w:vMerge w:val="continue"/>
            <w:vAlign w:val="center"/>
          </w:tcPr>
          <w:p>
            <w:pPr>
              <w:widowControl/>
              <w:jc w:val="center"/>
              <w:rPr>
                <w:rFonts w:hint="eastAsia" w:ascii="宋体" w:hAnsi="宋体"/>
                <w:color w:val="000000"/>
                <w:sz w:val="22"/>
              </w:rPr>
            </w:pPr>
          </w:p>
        </w:tc>
        <w:tc>
          <w:tcPr>
            <w:tcW w:w="656" w:type="dxa"/>
            <w:vMerge w:val="continue"/>
            <w:vAlign w:val="center"/>
          </w:tcPr>
          <w:p>
            <w:pPr>
              <w:widowControl/>
              <w:jc w:val="center"/>
              <w:rPr>
                <w:rFonts w:hint="eastAsia" w:ascii="宋体" w:hAnsi="宋体"/>
                <w:color w:val="000000"/>
                <w:sz w:val="22"/>
              </w:rPr>
            </w:pPr>
          </w:p>
        </w:tc>
        <w:tc>
          <w:tcPr>
            <w:tcW w:w="510" w:type="dxa"/>
            <w:vMerge w:val="continue"/>
            <w:vAlign w:val="center"/>
          </w:tcPr>
          <w:p>
            <w:pPr>
              <w:spacing w:line="360" w:lineRule="auto"/>
              <w:jc w:val="center"/>
              <w:rPr>
                <w:rFonts w:hint="eastAsia" w:ascii="宋体" w:hAnsi="宋体"/>
                <w:color w:val="000000"/>
                <w:sz w:val="22"/>
              </w:rPr>
            </w:pPr>
          </w:p>
        </w:tc>
        <w:tc>
          <w:tcPr>
            <w:tcW w:w="508" w:type="dxa"/>
            <w:vMerge w:val="continue"/>
            <w:vAlign w:val="center"/>
          </w:tcPr>
          <w:p>
            <w:pPr>
              <w:spacing w:line="360" w:lineRule="auto"/>
              <w:rPr>
                <w:rFonts w:hint="eastAsia" w:ascii="宋体" w:hAnsi="宋体"/>
                <w:color w:val="000000"/>
                <w:sz w:val="22"/>
              </w:rPr>
            </w:pPr>
          </w:p>
        </w:tc>
        <w:tc>
          <w:tcPr>
            <w:tcW w:w="659" w:type="dxa"/>
            <w:vMerge w:val="continue"/>
            <w:vAlign w:val="center"/>
          </w:tcPr>
          <w:p>
            <w:pPr>
              <w:spacing w:line="360" w:lineRule="auto"/>
              <w:jc w:val="center"/>
              <w:rPr>
                <w:rFonts w:hint="eastAsia" w:ascii="宋体" w:hAnsi="宋体"/>
                <w:color w:val="000000"/>
                <w:sz w:val="22"/>
              </w:rPr>
            </w:pPr>
          </w:p>
        </w:tc>
        <w:tc>
          <w:tcPr>
            <w:tcW w:w="712" w:type="dxa"/>
            <w:vMerge w:val="continue"/>
            <w:vAlign w:val="center"/>
          </w:tcPr>
          <w:p>
            <w:pPr>
              <w:widowControl/>
              <w:jc w:val="center"/>
              <w:rPr>
                <w:rFonts w:hint="eastAsia"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hint="eastAsia" w:ascii="宋体" w:hAnsi="宋体"/>
                <w:color w:val="000000"/>
                <w:sz w:val="22"/>
              </w:rPr>
              <w:t>1</w:t>
            </w:r>
          </w:p>
        </w:tc>
        <w:tc>
          <w:tcPr>
            <w:tcW w:w="471" w:type="dxa"/>
          </w:tcPr>
          <w:p>
            <w:pPr>
              <w:widowControl/>
              <w:jc w:val="center"/>
              <w:rPr>
                <w:rFonts w:ascii="宋体" w:hAnsi="宋体"/>
                <w:color w:val="000000"/>
                <w:sz w:val="22"/>
              </w:rPr>
            </w:pPr>
          </w:p>
        </w:tc>
        <w:tc>
          <w:tcPr>
            <w:tcW w:w="471" w:type="dxa"/>
          </w:tcPr>
          <w:p>
            <w:pPr>
              <w:widowControl/>
              <w:jc w:val="center"/>
              <w:rPr>
                <w:rFonts w:ascii="宋体" w:hAnsi="宋体"/>
                <w:color w:val="000000"/>
                <w:sz w:val="22"/>
              </w:rPr>
            </w:pPr>
          </w:p>
        </w:tc>
        <w:tc>
          <w:tcPr>
            <w:tcW w:w="471" w:type="dxa"/>
            <w:vAlign w:val="center"/>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662" w:type="dxa"/>
            <w:vAlign w:val="center"/>
          </w:tcPr>
          <w:p>
            <w:pPr>
              <w:widowControl/>
              <w:jc w:val="center"/>
              <w:rPr>
                <w:rFonts w:ascii="宋体" w:hAnsi="宋体"/>
                <w:color w:val="000000"/>
                <w:sz w:val="22"/>
              </w:rPr>
            </w:pPr>
          </w:p>
        </w:tc>
        <w:tc>
          <w:tcPr>
            <w:tcW w:w="609" w:type="dxa"/>
            <w:vAlign w:val="center"/>
          </w:tcPr>
          <w:p>
            <w:pPr>
              <w:widowControl/>
              <w:jc w:val="center"/>
              <w:rPr>
                <w:rFonts w:ascii="宋体" w:hAnsi="宋体"/>
                <w:color w:val="000000"/>
                <w:sz w:val="22"/>
              </w:rPr>
            </w:pPr>
          </w:p>
        </w:tc>
        <w:tc>
          <w:tcPr>
            <w:tcW w:w="378" w:type="dxa"/>
            <w:vAlign w:val="center"/>
          </w:tcPr>
          <w:p>
            <w:pPr>
              <w:widowControl/>
              <w:jc w:val="center"/>
              <w:rPr>
                <w:rFonts w:hint="eastAsia" w:ascii="宋体" w:hAnsi="宋体"/>
                <w:color w:val="000000"/>
                <w:sz w:val="22"/>
              </w:rPr>
            </w:pPr>
          </w:p>
        </w:tc>
        <w:tc>
          <w:tcPr>
            <w:tcW w:w="662" w:type="dxa"/>
            <w:vAlign w:val="center"/>
          </w:tcPr>
          <w:p>
            <w:pPr>
              <w:widowControl/>
              <w:jc w:val="center"/>
              <w:rPr>
                <w:rFonts w:ascii="宋体" w:hAnsi="宋体"/>
                <w:color w:val="000000"/>
                <w:sz w:val="22"/>
              </w:rPr>
            </w:pPr>
          </w:p>
        </w:tc>
        <w:tc>
          <w:tcPr>
            <w:tcW w:w="695" w:type="dxa"/>
            <w:vAlign w:val="center"/>
          </w:tcPr>
          <w:p>
            <w:pPr>
              <w:widowControl/>
              <w:jc w:val="center"/>
              <w:rPr>
                <w:rFonts w:ascii="宋体" w:hAnsi="宋体" w:cs="宋体"/>
                <w:b/>
                <w:bCs/>
                <w:color w:val="000000"/>
                <w:kern w:val="0"/>
                <w:sz w:val="22"/>
              </w:rPr>
            </w:pPr>
          </w:p>
        </w:tc>
        <w:tc>
          <w:tcPr>
            <w:tcW w:w="656" w:type="dxa"/>
            <w:vAlign w:val="center"/>
          </w:tcPr>
          <w:p>
            <w:pPr>
              <w:widowControl/>
              <w:jc w:val="center"/>
              <w:rPr>
                <w:rFonts w:ascii="宋体" w:hAnsi="宋体" w:cs="宋体"/>
                <w:b/>
                <w:bCs/>
                <w:color w:val="000000"/>
                <w:kern w:val="0"/>
                <w:sz w:val="22"/>
              </w:rPr>
            </w:pPr>
          </w:p>
        </w:tc>
        <w:tc>
          <w:tcPr>
            <w:tcW w:w="656" w:type="dxa"/>
            <w:vAlign w:val="center"/>
          </w:tcPr>
          <w:p>
            <w:pPr>
              <w:widowControl/>
              <w:jc w:val="center"/>
              <w:rPr>
                <w:rFonts w:ascii="宋体" w:hAnsi="宋体" w:cs="宋体"/>
                <w:b/>
                <w:bCs/>
                <w:color w:val="000000"/>
                <w:kern w:val="0"/>
                <w:sz w:val="22"/>
              </w:rPr>
            </w:pPr>
          </w:p>
        </w:tc>
        <w:tc>
          <w:tcPr>
            <w:tcW w:w="510" w:type="dxa"/>
            <w:vAlign w:val="center"/>
          </w:tcPr>
          <w:p>
            <w:pPr>
              <w:spacing w:line="360" w:lineRule="auto"/>
              <w:jc w:val="center"/>
              <w:rPr>
                <w:rFonts w:ascii="宋体" w:hAnsi="宋体"/>
                <w:color w:val="000000"/>
                <w:sz w:val="22"/>
              </w:rPr>
            </w:pPr>
          </w:p>
        </w:tc>
        <w:tc>
          <w:tcPr>
            <w:tcW w:w="508" w:type="dxa"/>
            <w:vAlign w:val="center"/>
          </w:tcPr>
          <w:p>
            <w:pPr>
              <w:spacing w:line="360" w:lineRule="auto"/>
              <w:rPr>
                <w:rFonts w:hint="eastAsia" w:ascii="宋体" w:hAnsi="宋体"/>
                <w:color w:val="000000"/>
                <w:sz w:val="22"/>
              </w:rPr>
            </w:pPr>
          </w:p>
        </w:tc>
        <w:tc>
          <w:tcPr>
            <w:tcW w:w="659" w:type="dxa"/>
            <w:vAlign w:val="center"/>
          </w:tcPr>
          <w:p>
            <w:pPr>
              <w:spacing w:line="360" w:lineRule="auto"/>
              <w:jc w:val="center"/>
              <w:rPr>
                <w:rFonts w:ascii="宋体" w:hAnsi="宋体"/>
                <w:color w:val="000000"/>
                <w:sz w:val="22"/>
              </w:rPr>
            </w:pPr>
          </w:p>
        </w:tc>
        <w:tc>
          <w:tcPr>
            <w:tcW w:w="712" w:type="dxa"/>
            <w:vAlign w:val="center"/>
          </w:tcPr>
          <w:p>
            <w:pPr>
              <w:widowControl/>
              <w:jc w:val="center"/>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hint="eastAsia" w:ascii="宋体" w:hAnsi="宋体"/>
                <w:color w:val="000000"/>
                <w:sz w:val="22"/>
              </w:rPr>
              <w:t>2</w:t>
            </w:r>
          </w:p>
        </w:tc>
        <w:tc>
          <w:tcPr>
            <w:tcW w:w="471" w:type="dxa"/>
          </w:tcPr>
          <w:p>
            <w:pPr>
              <w:spacing w:line="360" w:lineRule="auto"/>
              <w:jc w:val="center"/>
              <w:rPr>
                <w:rFonts w:ascii="宋体" w:hAnsi="宋体"/>
                <w:color w:val="000000"/>
                <w:sz w:val="22"/>
              </w:rPr>
            </w:pPr>
          </w:p>
        </w:tc>
        <w:tc>
          <w:tcPr>
            <w:tcW w:w="471" w:type="dxa"/>
          </w:tcPr>
          <w:p>
            <w:pPr>
              <w:spacing w:line="360" w:lineRule="auto"/>
              <w:jc w:val="center"/>
              <w:rPr>
                <w:rFonts w:ascii="宋体" w:hAnsi="宋体"/>
                <w:color w:val="000000"/>
                <w:sz w:val="22"/>
              </w:rPr>
            </w:pPr>
          </w:p>
        </w:tc>
        <w:tc>
          <w:tcPr>
            <w:tcW w:w="471" w:type="dxa"/>
            <w:vAlign w:val="center"/>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09" w:type="dxa"/>
          </w:tcPr>
          <w:p>
            <w:pPr>
              <w:spacing w:line="360" w:lineRule="auto"/>
              <w:jc w:val="center"/>
              <w:rPr>
                <w:rFonts w:ascii="宋体" w:hAnsi="宋体"/>
                <w:color w:val="000000"/>
                <w:sz w:val="22"/>
              </w:rPr>
            </w:pPr>
          </w:p>
        </w:tc>
        <w:tc>
          <w:tcPr>
            <w:tcW w:w="378"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95" w:type="dxa"/>
          </w:tcPr>
          <w:p>
            <w:pPr>
              <w:spacing w:line="360" w:lineRule="auto"/>
              <w:jc w:val="center"/>
              <w:rPr>
                <w:rFonts w:ascii="宋体" w:hAnsi="宋体"/>
                <w:color w:val="000000"/>
                <w:sz w:val="22"/>
              </w:rPr>
            </w:pPr>
          </w:p>
        </w:tc>
        <w:tc>
          <w:tcPr>
            <w:tcW w:w="656" w:type="dxa"/>
            <w:vAlign w:val="center"/>
          </w:tcPr>
          <w:p>
            <w:pPr>
              <w:spacing w:line="360" w:lineRule="auto"/>
              <w:jc w:val="center"/>
              <w:rPr>
                <w:rFonts w:ascii="宋体" w:hAnsi="宋体"/>
                <w:color w:val="000000"/>
                <w:sz w:val="22"/>
              </w:rPr>
            </w:pPr>
          </w:p>
        </w:tc>
        <w:tc>
          <w:tcPr>
            <w:tcW w:w="656" w:type="dxa"/>
          </w:tcPr>
          <w:p>
            <w:pPr>
              <w:spacing w:line="360" w:lineRule="auto"/>
              <w:jc w:val="center"/>
              <w:rPr>
                <w:rFonts w:ascii="宋体" w:hAnsi="宋体"/>
                <w:color w:val="000000"/>
                <w:sz w:val="22"/>
              </w:rPr>
            </w:pPr>
          </w:p>
        </w:tc>
        <w:tc>
          <w:tcPr>
            <w:tcW w:w="510" w:type="dxa"/>
            <w:vAlign w:val="center"/>
          </w:tcPr>
          <w:p>
            <w:pPr>
              <w:widowControl/>
              <w:jc w:val="center"/>
              <w:rPr>
                <w:rFonts w:ascii="宋体" w:hAnsi="宋体" w:cs="宋体"/>
                <w:b/>
                <w:bCs/>
                <w:color w:val="000000"/>
                <w:kern w:val="0"/>
                <w:sz w:val="22"/>
              </w:rPr>
            </w:pPr>
          </w:p>
        </w:tc>
        <w:tc>
          <w:tcPr>
            <w:tcW w:w="508" w:type="dxa"/>
            <w:vAlign w:val="center"/>
          </w:tcPr>
          <w:p>
            <w:pPr>
              <w:widowControl/>
              <w:jc w:val="center"/>
              <w:rPr>
                <w:rFonts w:ascii="宋体" w:hAnsi="宋体" w:cs="宋体"/>
                <w:b/>
                <w:bCs/>
                <w:color w:val="000000"/>
                <w:kern w:val="0"/>
                <w:sz w:val="22"/>
              </w:rPr>
            </w:pPr>
          </w:p>
        </w:tc>
        <w:tc>
          <w:tcPr>
            <w:tcW w:w="659" w:type="dxa"/>
          </w:tcPr>
          <w:p>
            <w:pPr>
              <w:spacing w:line="360" w:lineRule="auto"/>
              <w:jc w:val="center"/>
              <w:rPr>
                <w:rFonts w:ascii="宋体" w:hAnsi="宋体"/>
                <w:color w:val="000000"/>
                <w:sz w:val="22"/>
              </w:rPr>
            </w:pPr>
          </w:p>
        </w:tc>
        <w:tc>
          <w:tcPr>
            <w:tcW w:w="712" w:type="dxa"/>
            <w:vAlign w:val="center"/>
          </w:tcPr>
          <w:p>
            <w:pPr>
              <w:spacing w:line="360" w:lineRule="auto"/>
              <w:jc w:val="center"/>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ascii="宋体" w:hAnsi="宋体"/>
                <w:color w:val="000000"/>
                <w:sz w:val="22"/>
              </w:rPr>
              <w:t>…</w:t>
            </w:r>
          </w:p>
        </w:tc>
        <w:tc>
          <w:tcPr>
            <w:tcW w:w="471" w:type="dxa"/>
          </w:tcPr>
          <w:p>
            <w:pPr>
              <w:spacing w:line="360" w:lineRule="auto"/>
              <w:jc w:val="center"/>
              <w:rPr>
                <w:rFonts w:ascii="宋体" w:hAnsi="宋体"/>
                <w:color w:val="000000"/>
                <w:sz w:val="22"/>
              </w:rPr>
            </w:pPr>
          </w:p>
        </w:tc>
        <w:tc>
          <w:tcPr>
            <w:tcW w:w="471" w:type="dxa"/>
          </w:tcPr>
          <w:p>
            <w:pPr>
              <w:spacing w:line="360" w:lineRule="auto"/>
              <w:jc w:val="center"/>
              <w:rPr>
                <w:rFonts w:ascii="宋体" w:hAnsi="宋体"/>
                <w:color w:val="000000"/>
                <w:sz w:val="22"/>
              </w:rPr>
            </w:pPr>
          </w:p>
        </w:tc>
        <w:tc>
          <w:tcPr>
            <w:tcW w:w="471" w:type="dxa"/>
            <w:vAlign w:val="center"/>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09" w:type="dxa"/>
          </w:tcPr>
          <w:p>
            <w:pPr>
              <w:spacing w:line="360" w:lineRule="auto"/>
              <w:jc w:val="center"/>
              <w:rPr>
                <w:rFonts w:ascii="宋体" w:hAnsi="宋体"/>
                <w:color w:val="000000"/>
                <w:sz w:val="22"/>
              </w:rPr>
            </w:pPr>
          </w:p>
        </w:tc>
        <w:tc>
          <w:tcPr>
            <w:tcW w:w="378"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95" w:type="dxa"/>
          </w:tcPr>
          <w:p>
            <w:pPr>
              <w:spacing w:line="360" w:lineRule="auto"/>
              <w:jc w:val="center"/>
              <w:rPr>
                <w:rFonts w:ascii="宋体" w:hAnsi="宋体"/>
                <w:color w:val="000000"/>
                <w:sz w:val="22"/>
              </w:rPr>
            </w:pPr>
          </w:p>
        </w:tc>
        <w:tc>
          <w:tcPr>
            <w:tcW w:w="656" w:type="dxa"/>
            <w:vAlign w:val="center"/>
          </w:tcPr>
          <w:p>
            <w:pPr>
              <w:spacing w:line="360" w:lineRule="auto"/>
              <w:jc w:val="center"/>
              <w:rPr>
                <w:rFonts w:ascii="宋体" w:hAnsi="宋体"/>
                <w:color w:val="000000"/>
                <w:sz w:val="22"/>
              </w:rPr>
            </w:pPr>
          </w:p>
        </w:tc>
        <w:tc>
          <w:tcPr>
            <w:tcW w:w="656" w:type="dxa"/>
          </w:tcPr>
          <w:p>
            <w:pPr>
              <w:spacing w:line="360" w:lineRule="auto"/>
              <w:jc w:val="center"/>
              <w:rPr>
                <w:rFonts w:ascii="宋体" w:hAnsi="宋体"/>
                <w:color w:val="000000"/>
                <w:sz w:val="22"/>
              </w:rPr>
            </w:pPr>
          </w:p>
        </w:tc>
        <w:tc>
          <w:tcPr>
            <w:tcW w:w="510" w:type="dxa"/>
            <w:vAlign w:val="center"/>
          </w:tcPr>
          <w:p>
            <w:pPr>
              <w:spacing w:line="360" w:lineRule="auto"/>
              <w:jc w:val="center"/>
              <w:rPr>
                <w:rFonts w:ascii="宋体" w:hAnsi="宋体"/>
                <w:color w:val="000000"/>
                <w:sz w:val="22"/>
              </w:rPr>
            </w:pPr>
          </w:p>
        </w:tc>
        <w:tc>
          <w:tcPr>
            <w:tcW w:w="508" w:type="dxa"/>
            <w:vAlign w:val="center"/>
          </w:tcPr>
          <w:p>
            <w:pPr>
              <w:spacing w:line="360" w:lineRule="auto"/>
              <w:jc w:val="center"/>
              <w:rPr>
                <w:rFonts w:ascii="宋体" w:hAnsi="宋体"/>
                <w:color w:val="000000"/>
                <w:sz w:val="22"/>
              </w:rPr>
            </w:pPr>
          </w:p>
        </w:tc>
        <w:tc>
          <w:tcPr>
            <w:tcW w:w="659" w:type="dxa"/>
          </w:tcPr>
          <w:p>
            <w:pPr>
              <w:spacing w:line="360" w:lineRule="auto"/>
              <w:jc w:val="center"/>
              <w:rPr>
                <w:rFonts w:ascii="宋体" w:hAnsi="宋体"/>
                <w:color w:val="000000"/>
                <w:sz w:val="22"/>
              </w:rPr>
            </w:pPr>
          </w:p>
        </w:tc>
        <w:tc>
          <w:tcPr>
            <w:tcW w:w="712" w:type="dxa"/>
            <w:vAlign w:val="center"/>
          </w:tcPr>
          <w:p>
            <w:pPr>
              <w:spacing w:line="360" w:lineRule="auto"/>
              <w:jc w:val="center"/>
              <w:rPr>
                <w:rFonts w:ascii="宋体" w:hAnsi="宋体"/>
                <w:color w:val="000000"/>
                <w:sz w:val="22"/>
              </w:rPr>
            </w:pPr>
          </w:p>
        </w:tc>
      </w:tr>
    </w:tbl>
    <w:p>
      <w:pPr>
        <w:widowControl/>
        <w:wordWrap w:val="0"/>
        <w:spacing w:line="193" w:lineRule="atLeast"/>
        <w:rPr>
          <w:rFonts w:hint="eastAsia" w:ascii="宋体" w:hAnsi="宋体" w:eastAsia="宋体" w:cs="宋体"/>
          <w:kern w:val="0"/>
          <w:szCs w:val="21"/>
        </w:rPr>
      </w:pPr>
    </w:p>
    <w:p>
      <w:pPr>
        <w:spacing w:line="300" w:lineRule="auto"/>
        <w:rPr>
          <w:rFonts w:hint="eastAsia" w:asciiTheme="minorEastAsia" w:hAnsiTheme="minorEastAsia"/>
          <w:sz w:val="24"/>
          <w:szCs w:val="24"/>
        </w:rPr>
      </w:pPr>
      <w:r>
        <w:rPr>
          <w:rFonts w:hint="eastAsia" w:asciiTheme="minorEastAsia" w:hAnsiTheme="minorEastAsia"/>
          <w:sz w:val="24"/>
          <w:szCs w:val="24"/>
          <w:lang w:eastAsia="zh-CN"/>
        </w:rPr>
        <w:t>四、</w:t>
      </w:r>
      <w:r>
        <w:rPr>
          <w:rFonts w:hint="eastAsia" w:asciiTheme="minorEastAsia" w:hAnsiTheme="minorEastAsia"/>
          <w:sz w:val="24"/>
          <w:szCs w:val="24"/>
        </w:rPr>
        <w:t>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pPr>
        <w:spacing w:line="300" w:lineRule="auto"/>
        <w:rPr>
          <w:rFonts w:hint="eastAsia" w:asciiTheme="minorEastAsia" w:hAnsiTheme="minorEastAsia"/>
          <w:sz w:val="24"/>
          <w:szCs w:val="24"/>
        </w:rPr>
      </w:pPr>
      <w:r>
        <w:rPr>
          <w:rFonts w:hint="eastAsia" w:asciiTheme="minorEastAsia" w:hAnsiTheme="minorEastAsia"/>
          <w:sz w:val="24"/>
          <w:szCs w:val="24"/>
          <w:lang w:eastAsia="zh-CN"/>
        </w:rPr>
        <w:t>五、</w:t>
      </w:r>
      <w:r>
        <w:rPr>
          <w:rFonts w:hint="eastAsia" w:asciiTheme="minorEastAsia" w:hAnsiTheme="minorEastAsia"/>
          <w:sz w:val="24"/>
          <w:szCs w:val="24"/>
        </w:rPr>
        <w:t>资料准备：公司（企业）营业执照、生产（经营）许可证、厂商授权书、法人代表授权书、医疗器械产品注册证、上海市收费信息、报价单、产品质量保证书，提供”信用中国”查询结果截图及其他一切有效证书的复印件，加盖公司公章。所有资料必须以档案袋密封,密封处加盖公司骑缝公章,且非格式报价单、开口报价单均无效,不符合以上要求的资料一律作为无效资料处理,不具备遴选资格。</w:t>
      </w:r>
    </w:p>
    <w:p>
      <w:pPr>
        <w:spacing w:line="300" w:lineRule="auto"/>
        <w:rPr>
          <w:rFonts w:hint="eastAsia" w:asciiTheme="minorEastAsia" w:hAnsiTheme="minorEastAsia"/>
          <w:sz w:val="24"/>
          <w:szCs w:val="24"/>
        </w:rPr>
      </w:pPr>
      <w:r>
        <w:rPr>
          <w:rFonts w:hint="eastAsia" w:asciiTheme="minorEastAsia" w:hAnsiTheme="minorEastAsia"/>
          <w:sz w:val="24"/>
          <w:szCs w:val="24"/>
          <w:lang w:eastAsia="zh-CN"/>
        </w:rPr>
        <w:t>六、</w:t>
      </w:r>
      <w:r>
        <w:rPr>
          <w:rFonts w:hint="eastAsia" w:asciiTheme="minorEastAsia" w:hAnsiTheme="minorEastAsia"/>
          <w:sz w:val="24"/>
          <w:szCs w:val="24"/>
        </w:rPr>
        <w:t>供应期限：遴选最终确定的产品，供应产品质量及服务达到要求的，供应期限为36个月。</w:t>
      </w:r>
    </w:p>
    <w:p>
      <w:pPr>
        <w:spacing w:line="300" w:lineRule="auto"/>
        <w:rPr>
          <w:rFonts w:hint="eastAsia" w:asciiTheme="minorEastAsia" w:hAnsiTheme="minorEastAsia"/>
          <w:sz w:val="24"/>
          <w:szCs w:val="24"/>
        </w:rPr>
      </w:pPr>
      <w:r>
        <w:rPr>
          <w:rFonts w:hint="eastAsia" w:asciiTheme="minorEastAsia" w:hAnsiTheme="minorEastAsia"/>
          <w:sz w:val="24"/>
          <w:szCs w:val="24"/>
          <w:lang w:eastAsia="zh-CN"/>
        </w:rPr>
        <w:t>七、</w:t>
      </w:r>
      <w:r>
        <w:rPr>
          <w:rFonts w:hint="eastAsia" w:asciiTheme="minorEastAsia" w:hAnsiTheme="minorEastAsia"/>
          <w:sz w:val="24"/>
          <w:szCs w:val="24"/>
        </w:rPr>
        <w:t>付款周期：对账日期后3个月。</w:t>
      </w:r>
    </w:p>
    <w:p>
      <w:pPr>
        <w:spacing w:line="300" w:lineRule="auto"/>
        <w:rPr>
          <w:rFonts w:hint="eastAsia" w:asciiTheme="minorEastAsia" w:hAnsiTheme="minorEastAsia"/>
          <w:sz w:val="24"/>
          <w:szCs w:val="24"/>
        </w:rPr>
      </w:pPr>
      <w:r>
        <w:rPr>
          <w:rFonts w:hint="eastAsia" w:asciiTheme="minorEastAsia" w:hAnsiTheme="minorEastAsia"/>
          <w:sz w:val="24"/>
          <w:szCs w:val="24"/>
          <w:lang w:eastAsia="zh-CN"/>
        </w:rPr>
        <w:t>八、</w:t>
      </w:r>
      <w:r>
        <w:rPr>
          <w:rFonts w:hint="eastAsia" w:asciiTheme="minorEastAsia" w:hAnsiTheme="minorEastAsia"/>
          <w:sz w:val="24"/>
          <w:szCs w:val="24"/>
        </w:rPr>
        <w:t>特别备注：由于遴选试剂不能单独完成应用或检测要求的，或与甲方现有设备不相兼容的，经双方协商，乙方需提供完成检查检测的相关设备及附件。</w:t>
      </w:r>
    </w:p>
    <w:p>
      <w:pPr>
        <w:widowControl/>
        <w:wordWrap w:val="0"/>
        <w:spacing w:line="193" w:lineRule="atLeast"/>
        <w:rPr>
          <w:rFonts w:ascii="Calibri" w:hAnsi="Calibri" w:eastAsia="微软雅黑" w:cs="宋体"/>
          <w:kern w:val="0"/>
          <w:szCs w:val="21"/>
        </w:rPr>
      </w:pPr>
      <w:r>
        <w:rPr>
          <w:rFonts w:ascii="Calibri" w:hAnsi="Calibri" w:eastAsia="微软雅黑" w:cs="宋体"/>
          <w:kern w:val="0"/>
          <w:szCs w:val="21"/>
        </w:rPr>
        <w:t> </w:t>
      </w:r>
    </w:p>
    <w:p>
      <w:pPr>
        <w:widowControl/>
        <w:wordWrap w:val="0"/>
        <w:spacing w:line="193" w:lineRule="atLeast"/>
        <w:ind w:firstLine="482" w:firstLineChars="200"/>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开标日期及地点</w:t>
      </w:r>
    </w:p>
    <w:p>
      <w:pPr>
        <w:widowControl/>
        <w:wordWrap w:val="0"/>
        <w:spacing w:line="193" w:lineRule="atLeast"/>
        <w:ind w:firstLine="480" w:firstLineChars="200"/>
        <w:rPr>
          <w:rFonts w:hint="default" w:ascii="宋体" w:hAnsi="宋体" w:eastAsia="宋体" w:cs="宋体"/>
          <w:color w:val="FF0000"/>
          <w:kern w:val="0"/>
          <w:sz w:val="24"/>
          <w:szCs w:val="24"/>
          <w:lang w:val="en-US" w:eastAsia="zh-CN"/>
        </w:rPr>
      </w:pPr>
      <w:bookmarkStart w:id="0" w:name="_GoBack"/>
      <w:r>
        <w:rPr>
          <w:rFonts w:hint="eastAsia" w:ascii="宋体" w:hAnsi="宋体" w:eastAsia="宋体" w:cs="宋体"/>
          <w:color w:val="FF0000"/>
          <w:kern w:val="0"/>
          <w:sz w:val="24"/>
          <w:szCs w:val="24"/>
        </w:rPr>
        <w:t>开标日期：2021年</w:t>
      </w:r>
      <w:r>
        <w:rPr>
          <w:rFonts w:hint="eastAsia" w:ascii="宋体" w:hAnsi="宋体" w:eastAsia="宋体" w:cs="宋体"/>
          <w:color w:val="FF0000"/>
          <w:kern w:val="0"/>
          <w:sz w:val="24"/>
          <w:szCs w:val="24"/>
          <w:lang w:val="en-US" w:eastAsia="zh-CN"/>
        </w:rPr>
        <w:t>4</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8</w:t>
      </w:r>
      <w:r>
        <w:rPr>
          <w:rFonts w:hint="eastAsia" w:ascii="宋体" w:hAnsi="宋体" w:eastAsia="宋体" w:cs="宋体"/>
          <w:color w:val="FF0000"/>
          <w:kern w:val="0"/>
          <w:sz w:val="24"/>
          <w:szCs w:val="24"/>
        </w:rPr>
        <w:t>日，北京时间：15:</w:t>
      </w:r>
      <w:r>
        <w:rPr>
          <w:rFonts w:hint="eastAsia" w:ascii="宋体" w:hAnsi="宋体" w:eastAsia="宋体" w:cs="宋体"/>
          <w:color w:val="FF0000"/>
          <w:kern w:val="0"/>
          <w:sz w:val="24"/>
          <w:szCs w:val="24"/>
          <w:lang w:val="en-US" w:eastAsia="zh-CN"/>
        </w:rPr>
        <w:t>15</w:t>
      </w:r>
    </w:p>
    <w:bookmarkEnd w:id="0"/>
    <w:p>
      <w:pPr>
        <w:widowControl/>
        <w:wordWrap w:val="0"/>
        <w:spacing w:line="193"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开标地点：上海市泸定路355号住院部503会议室</w:t>
      </w:r>
    </w:p>
    <w:p>
      <w:pPr>
        <w:widowControl/>
        <w:wordWrap w:val="0"/>
        <w:spacing w:line="193" w:lineRule="atLeast"/>
        <w:rPr>
          <w:rFonts w:hint="eastAsia"/>
          <w:color w:val="FF0000"/>
          <w:sz w:val="24"/>
          <w:szCs w:val="24"/>
          <w:lang w:eastAsia="zh-CN"/>
        </w:rPr>
      </w:pPr>
      <w:r>
        <w:rPr>
          <w:rFonts w:hint="eastAsia"/>
          <w:color w:val="FF0000"/>
          <w:sz w:val="24"/>
          <w:szCs w:val="24"/>
          <w:lang w:val="en-US" w:eastAsia="zh-CN"/>
        </w:rPr>
        <w:t xml:space="preserve">    </w:t>
      </w:r>
      <w:r>
        <w:rPr>
          <w:rFonts w:hint="eastAsia"/>
          <w:color w:val="FF0000"/>
          <w:sz w:val="24"/>
          <w:szCs w:val="24"/>
          <w:lang w:eastAsia="zh-CN"/>
        </w:rPr>
        <w:t>★注意事项：</w:t>
      </w:r>
    </w:p>
    <w:p>
      <w:pPr>
        <w:widowControl/>
        <w:numPr>
          <w:ilvl w:val="0"/>
          <w:numId w:val="0"/>
        </w:numPr>
        <w:wordWrap w:val="0"/>
        <w:spacing w:line="193" w:lineRule="atLeast"/>
        <w:ind w:firstLine="240" w:firstLineChars="100"/>
        <w:rPr>
          <w:rFonts w:hint="default"/>
          <w:color w:val="FF0000"/>
          <w:sz w:val="24"/>
          <w:szCs w:val="24"/>
          <w:lang w:val="en-US" w:eastAsia="zh-CN"/>
        </w:rPr>
      </w:pPr>
      <w:r>
        <w:rPr>
          <w:rFonts w:hint="eastAsia"/>
          <w:color w:val="FF0000"/>
          <w:sz w:val="24"/>
          <w:szCs w:val="24"/>
          <w:lang w:val="en-US" w:eastAsia="zh-CN"/>
        </w:rPr>
        <w:t xml:space="preserve">（1）投标方代表严格遵守开标纪律，务必于开标前10分钟携带遴选文件到达会场，遴选文件必须排版胶装并以档案袋密封,密封处加盖公司骑缝公章,非格式报价单、开口报价单均无效,不符合以上要求均视为无效投标,不具备遴选资格。 </w:t>
      </w:r>
    </w:p>
    <w:p>
      <w:pPr>
        <w:widowControl/>
        <w:numPr>
          <w:ilvl w:val="0"/>
          <w:numId w:val="0"/>
        </w:numPr>
        <w:wordWrap w:val="0"/>
        <w:spacing w:line="193" w:lineRule="atLeast"/>
        <w:ind w:firstLine="240" w:firstLineChars="100"/>
        <w:rPr>
          <w:rFonts w:hint="eastAsia"/>
          <w:color w:val="FF0000"/>
          <w:sz w:val="24"/>
          <w:szCs w:val="24"/>
          <w:lang w:val="en-US" w:eastAsia="zh-CN"/>
        </w:rPr>
      </w:pPr>
      <w:r>
        <w:rPr>
          <w:rFonts w:hint="eastAsia"/>
          <w:color w:val="FF0000"/>
          <w:sz w:val="24"/>
          <w:szCs w:val="24"/>
          <w:lang w:val="en-US" w:eastAsia="zh-CN"/>
        </w:rPr>
        <w:t>（2）遴选响应文件的份数：纸质正本1份，电子版1份（1.全套投标文件正本（加盖公章） ：PDF格式扫描件；2. 遴选采购报价表、技术偏离表：excel版本，电子版请于开标后发送至邮箱</w:t>
      </w:r>
      <w:r>
        <w:rPr>
          <w:rFonts w:hint="eastAsia"/>
          <w:color w:val="FF0000"/>
          <w:sz w:val="24"/>
          <w:szCs w:val="24"/>
          <w:lang w:val="en-US" w:eastAsia="zh-CN"/>
        </w:rPr>
        <w:fldChar w:fldCharType="begin"/>
      </w:r>
      <w:r>
        <w:rPr>
          <w:rFonts w:hint="eastAsia"/>
          <w:color w:val="FF0000"/>
          <w:sz w:val="24"/>
          <w:szCs w:val="24"/>
          <w:lang w:val="en-US" w:eastAsia="zh-CN"/>
        </w:rPr>
        <w:instrText xml:space="preserve">HYPERLINK "mailto:xuml@shchildren.com.cn"</w:instrText>
      </w:r>
      <w:r>
        <w:rPr>
          <w:rFonts w:hint="eastAsia"/>
          <w:color w:val="FF0000"/>
          <w:sz w:val="24"/>
          <w:szCs w:val="24"/>
          <w:lang w:val="en-US" w:eastAsia="zh-CN"/>
        </w:rPr>
        <w:fldChar w:fldCharType="separate"/>
      </w:r>
      <w:r>
        <w:rPr>
          <w:rFonts w:hint="eastAsia"/>
          <w:color w:val="FF0000"/>
          <w:sz w:val="24"/>
          <w:szCs w:val="24"/>
          <w:lang w:val="en-US" w:eastAsia="zh-CN"/>
        </w:rPr>
        <w:t>zhenglin@shchildren.com.cn</w:t>
      </w:r>
      <w:r>
        <w:rPr>
          <w:rFonts w:hint="eastAsia"/>
          <w:color w:val="FF0000"/>
          <w:sz w:val="24"/>
          <w:szCs w:val="24"/>
          <w:lang w:val="en-US" w:eastAsia="zh-CN"/>
        </w:rPr>
        <w:fldChar w:fldCharType="end"/>
      </w:r>
      <w:r>
        <w:rPr>
          <w:rFonts w:hint="eastAsia"/>
          <w:color w:val="FF0000"/>
          <w:sz w:val="24"/>
          <w:szCs w:val="24"/>
          <w:lang w:val="en-US" w:eastAsia="zh-CN"/>
        </w:rPr>
        <w:t>）。</w:t>
      </w:r>
    </w:p>
    <w:p>
      <w:pPr>
        <w:widowControl/>
        <w:wordWrap w:val="0"/>
        <w:spacing w:line="193" w:lineRule="atLeast"/>
        <w:rPr>
          <w:color w:val="FF0000"/>
        </w:rPr>
      </w:pP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b/>
          <w:bCs/>
          <w:color w:val="000000"/>
          <w:kern w:val="0"/>
          <w:sz w:val="24"/>
          <w:szCs w:val="24"/>
        </w:rPr>
        <w:t>联系地址</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上海市泸定路355号上海市儿童医院 门诊一楼</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联系人：文志林、郑霖</w:t>
      </w:r>
    </w:p>
    <w:p>
      <w:pPr>
        <w:widowControl/>
        <w:wordWrap w:val="0"/>
        <w:spacing w:line="193"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联系电话：021-52974032</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上海市儿童医院采购中心</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2021年</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9276A6"/>
    <w:multiLevelType w:val="singleLevel"/>
    <w:tmpl w:val="E69276A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ECE"/>
    <w:rsid w:val="00003289"/>
    <w:rsid w:val="000506EB"/>
    <w:rsid w:val="0008767E"/>
    <w:rsid w:val="000E00D2"/>
    <w:rsid w:val="00100C93"/>
    <w:rsid w:val="00140F7C"/>
    <w:rsid w:val="00143232"/>
    <w:rsid w:val="00154B99"/>
    <w:rsid w:val="00167038"/>
    <w:rsid w:val="0017259A"/>
    <w:rsid w:val="001D05FB"/>
    <w:rsid w:val="001D33B1"/>
    <w:rsid w:val="001F144A"/>
    <w:rsid w:val="00214130"/>
    <w:rsid w:val="00235ADD"/>
    <w:rsid w:val="0029714C"/>
    <w:rsid w:val="002B006F"/>
    <w:rsid w:val="002F05AD"/>
    <w:rsid w:val="0031743E"/>
    <w:rsid w:val="00353CF8"/>
    <w:rsid w:val="00362669"/>
    <w:rsid w:val="003876C9"/>
    <w:rsid w:val="0039694A"/>
    <w:rsid w:val="003D3093"/>
    <w:rsid w:val="003F16FE"/>
    <w:rsid w:val="00435999"/>
    <w:rsid w:val="00445D31"/>
    <w:rsid w:val="00465BEB"/>
    <w:rsid w:val="004964AB"/>
    <w:rsid w:val="004F1093"/>
    <w:rsid w:val="00510296"/>
    <w:rsid w:val="005229EC"/>
    <w:rsid w:val="00530A0B"/>
    <w:rsid w:val="005315F6"/>
    <w:rsid w:val="00536A1A"/>
    <w:rsid w:val="00541F4A"/>
    <w:rsid w:val="0059702A"/>
    <w:rsid w:val="005E4CBC"/>
    <w:rsid w:val="00605EF8"/>
    <w:rsid w:val="00614545"/>
    <w:rsid w:val="00620853"/>
    <w:rsid w:val="00655393"/>
    <w:rsid w:val="006C5381"/>
    <w:rsid w:val="006D46AF"/>
    <w:rsid w:val="006D634C"/>
    <w:rsid w:val="0071743D"/>
    <w:rsid w:val="0074080D"/>
    <w:rsid w:val="00751C43"/>
    <w:rsid w:val="00754398"/>
    <w:rsid w:val="007631FF"/>
    <w:rsid w:val="007967C2"/>
    <w:rsid w:val="00801135"/>
    <w:rsid w:val="00842BD0"/>
    <w:rsid w:val="00870F03"/>
    <w:rsid w:val="008D2C6C"/>
    <w:rsid w:val="008E5159"/>
    <w:rsid w:val="008F6C9C"/>
    <w:rsid w:val="00904AF5"/>
    <w:rsid w:val="00937943"/>
    <w:rsid w:val="009760A6"/>
    <w:rsid w:val="00984C86"/>
    <w:rsid w:val="00994FF0"/>
    <w:rsid w:val="009A338F"/>
    <w:rsid w:val="00A72DF5"/>
    <w:rsid w:val="00A87003"/>
    <w:rsid w:val="00AB0A3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23820D4"/>
    <w:rsid w:val="052E38E1"/>
    <w:rsid w:val="06456F2F"/>
    <w:rsid w:val="06AE7D15"/>
    <w:rsid w:val="06E077D2"/>
    <w:rsid w:val="0716207E"/>
    <w:rsid w:val="075F4276"/>
    <w:rsid w:val="093D185A"/>
    <w:rsid w:val="0B3D54C6"/>
    <w:rsid w:val="0BD151AB"/>
    <w:rsid w:val="0D5170BE"/>
    <w:rsid w:val="10C91DD2"/>
    <w:rsid w:val="10FA49AA"/>
    <w:rsid w:val="11114207"/>
    <w:rsid w:val="11711B25"/>
    <w:rsid w:val="166D01D8"/>
    <w:rsid w:val="17365260"/>
    <w:rsid w:val="1790318F"/>
    <w:rsid w:val="18717308"/>
    <w:rsid w:val="18B34AB1"/>
    <w:rsid w:val="1926004F"/>
    <w:rsid w:val="1A8E11FB"/>
    <w:rsid w:val="1AAD44D4"/>
    <w:rsid w:val="1B8D049E"/>
    <w:rsid w:val="1BE71836"/>
    <w:rsid w:val="1C085564"/>
    <w:rsid w:val="209E3AAA"/>
    <w:rsid w:val="20BD5BD5"/>
    <w:rsid w:val="23B63AF4"/>
    <w:rsid w:val="23E834D5"/>
    <w:rsid w:val="2A0A052A"/>
    <w:rsid w:val="2B08526E"/>
    <w:rsid w:val="2C0606D5"/>
    <w:rsid w:val="2E4E2C28"/>
    <w:rsid w:val="30806547"/>
    <w:rsid w:val="323A48DC"/>
    <w:rsid w:val="34E42337"/>
    <w:rsid w:val="36ED1E34"/>
    <w:rsid w:val="3A3662F3"/>
    <w:rsid w:val="3A9F3E75"/>
    <w:rsid w:val="3B595FFE"/>
    <w:rsid w:val="3BD5458B"/>
    <w:rsid w:val="3CBB5598"/>
    <w:rsid w:val="3DA71EFB"/>
    <w:rsid w:val="3EEE4FED"/>
    <w:rsid w:val="3FE35A0C"/>
    <w:rsid w:val="40214546"/>
    <w:rsid w:val="411F46A5"/>
    <w:rsid w:val="43BF292A"/>
    <w:rsid w:val="4551058A"/>
    <w:rsid w:val="46E77B6B"/>
    <w:rsid w:val="4747106E"/>
    <w:rsid w:val="4BC24A77"/>
    <w:rsid w:val="4C1B3BB0"/>
    <w:rsid w:val="4D252C3A"/>
    <w:rsid w:val="4DFA7795"/>
    <w:rsid w:val="53FD3ABD"/>
    <w:rsid w:val="554E62C0"/>
    <w:rsid w:val="576E7689"/>
    <w:rsid w:val="5C3D1857"/>
    <w:rsid w:val="5D126255"/>
    <w:rsid w:val="5DE078E6"/>
    <w:rsid w:val="603C1320"/>
    <w:rsid w:val="61191A11"/>
    <w:rsid w:val="64FE099A"/>
    <w:rsid w:val="65752D20"/>
    <w:rsid w:val="67CF1147"/>
    <w:rsid w:val="6800057A"/>
    <w:rsid w:val="6E7F33F8"/>
    <w:rsid w:val="705A4DB9"/>
    <w:rsid w:val="70B31796"/>
    <w:rsid w:val="714323EA"/>
    <w:rsid w:val="7349268D"/>
    <w:rsid w:val="73966EBB"/>
    <w:rsid w:val="745A720C"/>
    <w:rsid w:val="75F4167C"/>
    <w:rsid w:val="784333A1"/>
    <w:rsid w:val="7A044863"/>
    <w:rsid w:val="7A1C54BC"/>
    <w:rsid w:val="7AF36E33"/>
    <w:rsid w:val="7BB948D7"/>
    <w:rsid w:val="7BD50615"/>
    <w:rsid w:val="7CB033CB"/>
    <w:rsid w:val="7D753796"/>
    <w:rsid w:val="7ECF7E29"/>
    <w:rsid w:val="7F282C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qFormat/>
    <w:uiPriority w:val="0"/>
    <w:pPr>
      <w:jc w:val="left"/>
    </w:pPr>
    <w:rPr>
      <w:rFonts w:ascii="Times New Roman" w:hAnsi="Times New Roman" w:eastAsia="宋体" w:cs="Times New Roman"/>
      <w:szCs w:val="24"/>
    </w:rPr>
  </w:style>
  <w:style w:type="paragraph" w:styleId="4">
    <w:name w:val="Balloon Text"/>
    <w:basedOn w:val="1"/>
    <w:link w:val="21"/>
    <w:semiHidden/>
    <w:unhideWhenUsed/>
    <w:qFormat/>
    <w:uiPriority w:val="99"/>
    <w:rPr>
      <w:sz w:val="18"/>
      <w:szCs w:val="18"/>
    </w:r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u w:val="single"/>
    </w:rPr>
  </w:style>
  <w:style w:type="character" w:styleId="12">
    <w:name w:val="Emphasis"/>
    <w:basedOn w:val="9"/>
    <w:qFormat/>
    <w:uiPriority w:val="20"/>
    <w:rPr>
      <w:i/>
      <w:iCs/>
    </w:rPr>
  </w:style>
  <w:style w:type="character" w:styleId="13">
    <w:name w:val="Hyperlink"/>
    <w:basedOn w:val="9"/>
    <w:unhideWhenUsed/>
    <w:qFormat/>
    <w:uiPriority w:val="99"/>
    <w:rPr>
      <w:color w:val="0000FF"/>
      <w:u w:val="single"/>
    </w:rPr>
  </w:style>
  <w:style w:type="character" w:styleId="14">
    <w:name w:val="annotation reference"/>
    <w:semiHidden/>
    <w:qFormat/>
    <w:uiPriority w:val="0"/>
    <w:rPr>
      <w:sz w:val="21"/>
      <w:szCs w:val="21"/>
    </w:rPr>
  </w:style>
  <w:style w:type="character" w:customStyle="1" w:styleId="15">
    <w:name w:val="页眉 Char"/>
    <w:basedOn w:val="9"/>
    <w:link w:val="6"/>
    <w:semiHidden/>
    <w:qFormat/>
    <w:uiPriority w:val="99"/>
    <w:rPr>
      <w:sz w:val="18"/>
      <w:szCs w:val="18"/>
    </w:rPr>
  </w:style>
  <w:style w:type="character" w:customStyle="1" w:styleId="16">
    <w:name w:val="页脚 Char"/>
    <w:basedOn w:val="9"/>
    <w:link w:val="5"/>
    <w:semiHidden/>
    <w:qFormat/>
    <w:uiPriority w:val="99"/>
    <w:rPr>
      <w:sz w:val="18"/>
      <w:szCs w:val="18"/>
    </w:rPr>
  </w:style>
  <w:style w:type="character" w:customStyle="1" w:styleId="17">
    <w:name w:val="标题 1 Char"/>
    <w:basedOn w:val="9"/>
    <w:link w:val="2"/>
    <w:qFormat/>
    <w:uiPriority w:val="9"/>
    <w:rPr>
      <w:rFonts w:ascii="宋体" w:hAnsi="宋体" w:eastAsia="宋体" w:cs="宋体"/>
      <w:b/>
      <w:bCs/>
      <w:kern w:val="36"/>
      <w:sz w:val="48"/>
      <w:szCs w:val="48"/>
    </w:rPr>
  </w:style>
  <w:style w:type="character" w:customStyle="1" w:styleId="18">
    <w:name w:val="meta-date"/>
    <w:basedOn w:val="9"/>
    <w:qFormat/>
    <w:uiPriority w:val="0"/>
  </w:style>
  <w:style w:type="character" w:customStyle="1" w:styleId="19">
    <w:name w:val="meta-aname"/>
    <w:basedOn w:val="9"/>
    <w:qFormat/>
    <w:uiPriority w:val="0"/>
  </w:style>
  <w:style w:type="character" w:customStyle="1" w:styleId="20">
    <w:name w:val="批注文字 Char"/>
    <w:basedOn w:val="9"/>
    <w:link w:val="3"/>
    <w:semiHidden/>
    <w:qFormat/>
    <w:uiPriority w:val="0"/>
    <w:rPr>
      <w:rFonts w:ascii="Times New Roman" w:hAnsi="Times New Roman" w:eastAsia="宋体" w:cs="Times New Roman"/>
      <w:kern w:val="2"/>
      <w:sz w:val="21"/>
      <w:szCs w:val="24"/>
    </w:rPr>
  </w:style>
  <w:style w:type="character" w:customStyle="1" w:styleId="21">
    <w:name w:val="批注框文本 Char"/>
    <w:basedOn w:val="9"/>
    <w:link w:val="4"/>
    <w:semiHidden/>
    <w:qFormat/>
    <w:uiPriority w:val="99"/>
    <w:rPr>
      <w:kern w:val="2"/>
      <w:sz w:val="18"/>
      <w:szCs w:val="18"/>
    </w:rPr>
  </w:style>
  <w:style w:type="paragraph" w:customStyle="1" w:styleId="22">
    <w:name w:val="ifb-1"/>
    <w:basedOn w:val="1"/>
    <w:qFormat/>
    <w:uiPriority w:val="0"/>
    <w:pPr>
      <w:ind w:left="420" w:hanging="420"/>
    </w:pPr>
    <w:rPr>
      <w:rFonts w:ascii="楷体_GB2312" w:eastAsia="楷体_GB231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D1AE00-175B-40CD-B92A-C6F1F1B988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1325</Words>
  <Characters>7557</Characters>
  <Lines>62</Lines>
  <Paragraphs>17</Paragraphs>
  <TotalTime>1</TotalTime>
  <ScaleCrop>false</ScaleCrop>
  <LinksUpToDate>false</LinksUpToDate>
  <CharactersWithSpaces>8865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2013-09-10T01:09:00Z</dcterms:created>
  <dc:creator>user</dc:creator>
  <cp:lastModifiedBy>涤尘</cp:lastModifiedBy>
  <dcterms:modified xsi:type="dcterms:W3CDTF">2021-04-01T02:59:37Z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163907C2A8F541389E4DF158A2EDE513</vt:lpwstr>
  </property>
</Properties>
</file>