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宋体" w:hAnsi="宋体" w:eastAsia="宋体" w:cs="宋体"/>
          <w:sz w:val="60"/>
          <w:szCs w:val="60"/>
        </w:rPr>
      </w:pPr>
      <w:r>
        <w:rPr>
          <w:rFonts w:hint="eastAsia" w:ascii="宋体" w:hAnsi="宋体" w:eastAsia="宋体" w:cs="宋体"/>
          <w:sz w:val="60"/>
          <w:szCs w:val="60"/>
        </w:rPr>
        <w:t>上海市儿童医院</w:t>
      </w:r>
    </w:p>
    <w:p>
      <w:pPr>
        <w:pStyle w:val="9"/>
        <w:rPr>
          <w:rFonts w:hint="eastAsia" w:ascii="宋体" w:hAnsi="宋体" w:eastAsia="宋体" w:cs="宋体"/>
          <w:sz w:val="60"/>
          <w:szCs w:val="60"/>
        </w:rPr>
      </w:pPr>
    </w:p>
    <w:p>
      <w:pPr>
        <w:pStyle w:val="9"/>
        <w:rPr>
          <w:rFonts w:hint="eastAsia" w:ascii="宋体" w:hAnsi="宋体" w:eastAsia="宋体" w:cs="宋体"/>
          <w:sz w:val="60"/>
          <w:szCs w:val="60"/>
        </w:rPr>
      </w:pPr>
    </w:p>
    <w:p>
      <w:pPr>
        <w:pStyle w:val="9"/>
        <w:rPr>
          <w:rFonts w:hint="eastAsia" w:ascii="宋体" w:hAnsi="宋体"/>
          <w:szCs w:val="21"/>
          <w:lang w:val="en-US" w:eastAsia="zh-CN"/>
        </w:rPr>
      </w:pPr>
      <w:r>
        <w:rPr>
          <w:rFonts w:hint="eastAsia" w:ascii="宋体" w:hAnsi="宋体"/>
          <w:szCs w:val="21"/>
          <w:lang w:val="en-US" w:eastAsia="zh-CN"/>
        </w:rPr>
        <w:t>一次性使用微量采血吸管等</w:t>
      </w:r>
    </w:p>
    <w:p>
      <w:pPr>
        <w:pStyle w:val="9"/>
        <w:rPr>
          <w:rFonts w:hint="eastAsia" w:ascii="宋体" w:hAnsi="宋体" w:eastAsia="宋体" w:cs="宋体"/>
          <w:sz w:val="36"/>
        </w:rPr>
      </w:pPr>
      <w:r>
        <w:rPr>
          <w:rFonts w:hint="eastAsia" w:ascii="宋体" w:hAnsi="宋体"/>
          <w:szCs w:val="21"/>
          <w:lang w:val="en-US" w:eastAsia="zh-CN"/>
        </w:rPr>
        <w:t>4项试剂遴选文件</w:t>
      </w:r>
    </w:p>
    <w:p>
      <w:pPr>
        <w:pStyle w:val="1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w:t>
      </w:r>
      <w:r>
        <w:rPr>
          <w:rFonts w:hint="eastAsia" w:ascii="宋体" w:hAnsi="宋体" w:eastAsia="宋体" w:cs="宋体"/>
          <w:b/>
          <w:sz w:val="36"/>
          <w:szCs w:val="20"/>
          <w:lang w:val="en-US" w:eastAsia="zh-CN"/>
        </w:rPr>
        <w:t>10</w:t>
      </w:r>
    </w:p>
    <w:p>
      <w:pPr>
        <w:pStyle w:val="9"/>
        <w:rPr>
          <w:rFonts w:ascii="华文仿宋" w:hAnsi="华文仿宋" w:eastAsia="华文仿宋" w:cs="华文仿宋"/>
          <w:sz w:val="36"/>
        </w:rPr>
      </w:pPr>
    </w:p>
    <w:p>
      <w:pPr>
        <w:pStyle w:val="9"/>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480" w:firstLineChars="200"/>
        <w:jc w:val="left"/>
        <w:textAlignment w:val="auto"/>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lang w:val="en-US" w:eastAsia="zh-CN"/>
        </w:rPr>
        <w:t>遴选项目</w:t>
      </w:r>
      <w:r>
        <w:rPr>
          <w:rFonts w:hint="eastAsia" w:ascii="宋体" w:hAnsi="宋体" w:eastAsia="宋体" w:cs="宋体"/>
          <w:b/>
          <w:bCs/>
          <w:color w:val="000000"/>
          <w:kern w:val="0"/>
          <w:sz w:val="24"/>
          <w:szCs w:val="24"/>
        </w:rPr>
        <w:t>：</w:t>
      </w:r>
    </w:p>
    <w:tbl>
      <w:tblPr>
        <w:tblStyle w:val="14"/>
        <w:tblpPr w:leftFromText="180" w:rightFromText="180" w:vertAnchor="text" w:horzAnchor="page" w:tblpX="1622" w:tblpY="36"/>
        <w:tblOverlap w:val="never"/>
        <w:tblW w:w="10164" w:type="dxa"/>
        <w:tblInd w:w="0" w:type="dxa"/>
        <w:tblLayout w:type="fixed"/>
        <w:tblCellMar>
          <w:top w:w="0" w:type="dxa"/>
          <w:left w:w="108" w:type="dxa"/>
          <w:bottom w:w="0" w:type="dxa"/>
          <w:right w:w="108" w:type="dxa"/>
        </w:tblCellMar>
      </w:tblPr>
      <w:tblGrid>
        <w:gridCol w:w="909"/>
        <w:gridCol w:w="1860"/>
        <w:gridCol w:w="1380"/>
        <w:gridCol w:w="1005"/>
        <w:gridCol w:w="5010"/>
      </w:tblGrid>
      <w:tr>
        <w:tblPrEx>
          <w:tblCellMar>
            <w:top w:w="0" w:type="dxa"/>
            <w:left w:w="108" w:type="dxa"/>
            <w:bottom w:w="0" w:type="dxa"/>
            <w:right w:w="108" w:type="dxa"/>
          </w:tblCellMar>
        </w:tblPrEx>
        <w:trPr>
          <w:trHeight w:val="812"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8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val="en-US" w:eastAsia="zh-CN"/>
              </w:rPr>
              <w:t>服务期</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lang w:eastAsia="zh-CN"/>
              </w:rPr>
            </w:pPr>
            <w:r>
              <w:rPr>
                <w:rFonts w:hint="eastAsia" w:ascii="宋体" w:hAnsi="宋体"/>
                <w:szCs w:val="21"/>
                <w:lang w:val="en-US" w:eastAsia="zh-CN"/>
              </w:rPr>
              <w:t>01</w:t>
            </w:r>
          </w:p>
        </w:tc>
        <w:tc>
          <w:tcPr>
            <w:tcW w:w="18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一次性使用微量采血吸管</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80000支/年</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1年</w:t>
            </w:r>
          </w:p>
        </w:tc>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drawing>
                <wp:inline distT="0" distB="0" distL="114300" distR="114300">
                  <wp:extent cx="1257935" cy="1257935"/>
                  <wp:effectExtent l="0" t="0" r="18415" b="18415"/>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4"/>
                          <a:stretch>
                            <a:fillRect/>
                          </a:stretch>
                        </pic:blipFill>
                        <pic:spPr>
                          <a:xfrm>
                            <a:off x="0" y="0"/>
                            <a:ext cx="1257935" cy="1257935"/>
                          </a:xfrm>
                          <a:prstGeom prst="rect">
                            <a:avLst/>
                          </a:prstGeom>
                          <a:noFill/>
                          <a:ln w="9525">
                            <a:noFill/>
                          </a:ln>
                        </pic:spPr>
                      </pic:pic>
                    </a:graphicData>
                  </a:graphic>
                </wp:inline>
              </w:drawing>
            </w:r>
          </w:p>
          <w:p>
            <w:pPr>
              <w:widowControl/>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https://gysgl.shchildren.com.cn:9088/hospital-supplier/hospital/visit?pc=00009218</w:t>
            </w:r>
          </w:p>
        </w:tc>
      </w:tr>
      <w:tr>
        <w:tblPrEx>
          <w:tblCellMar>
            <w:top w:w="0" w:type="dxa"/>
            <w:left w:w="108" w:type="dxa"/>
            <w:bottom w:w="0" w:type="dxa"/>
            <w:right w:w="108" w:type="dxa"/>
          </w:tblCellMar>
        </w:tblPrEx>
        <w:trPr>
          <w:trHeight w:val="2801"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02</w:t>
            </w:r>
          </w:p>
        </w:tc>
        <w:tc>
          <w:tcPr>
            <w:tcW w:w="18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25羟基维生素D2/D3样本萃取液</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4000test/年</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1年</w:t>
            </w:r>
          </w:p>
        </w:tc>
        <w:tc>
          <w:tcPr>
            <w:tcW w:w="5010" w:type="dxa"/>
            <w:tcBorders>
              <w:top w:val="single" w:color="auto" w:sz="4" w:space="0"/>
              <w:left w:val="nil"/>
              <w:bottom w:val="single" w:color="auto" w:sz="4" w:space="0"/>
              <w:right w:val="single" w:color="auto" w:sz="4" w:space="0"/>
            </w:tcBorders>
            <w:noWrap w:val="0"/>
            <w:vAlign w:val="center"/>
          </w:tcPr>
          <w:tbl>
            <w:tblPr>
              <w:tblStyle w:val="14"/>
              <w:tblpPr w:leftFromText="180" w:rightFromText="180" w:vertAnchor="text" w:horzAnchor="page" w:tblpX="1622" w:tblpY="36"/>
              <w:tblOverlap w:val="never"/>
              <w:tblW w:w="10164" w:type="dxa"/>
              <w:tblInd w:w="0" w:type="dxa"/>
              <w:tblLayout w:type="fixed"/>
              <w:tblCellMar>
                <w:top w:w="0" w:type="dxa"/>
                <w:left w:w="108" w:type="dxa"/>
                <w:bottom w:w="0" w:type="dxa"/>
                <w:right w:w="108" w:type="dxa"/>
              </w:tblCellMar>
            </w:tblPr>
            <w:tblGrid>
              <w:gridCol w:w="5010"/>
            </w:tblGrid>
            <w:tr>
              <w:trPr>
                <w:trHeight w:val="2801" w:hRule="exact"/>
              </w:trPr>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drawing>
                      <wp:inline distT="0" distB="0" distL="114300" distR="114300">
                        <wp:extent cx="1257935" cy="1257935"/>
                        <wp:effectExtent l="0" t="0" r="18415" b="18415"/>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r:embed="rId4"/>
                                <a:stretch>
                                  <a:fillRect/>
                                </a:stretch>
                              </pic:blipFill>
                              <pic:spPr>
                                <a:xfrm>
                                  <a:off x="0" y="0"/>
                                  <a:ext cx="1257935" cy="1257935"/>
                                </a:xfrm>
                                <a:prstGeom prst="rect">
                                  <a:avLst/>
                                </a:prstGeom>
                                <a:noFill/>
                                <a:ln w="9525">
                                  <a:noFill/>
                                </a:ln>
                              </pic:spPr>
                            </pic:pic>
                          </a:graphicData>
                        </a:graphic>
                      </wp:inline>
                    </w:drawing>
                  </w:r>
                </w:p>
                <w:p>
                  <w:pPr>
                    <w:widowControl/>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https://gysgl.shchildren.com.cn:9088/hospital-supplier/hospital/visit?pc=00009218</w:t>
                  </w:r>
                </w:p>
              </w:tc>
            </w:tr>
          </w:tbl>
          <w:p>
            <w:pPr>
              <w:widowControl/>
              <w:jc w:val="center"/>
              <w:rPr>
                <w:rFonts w:hint="eastAsia" w:ascii="宋体" w:hAnsi="宋体"/>
                <w:szCs w:val="21"/>
                <w:lang w:val="en-US" w:eastAsia="zh-CN"/>
              </w:rPr>
            </w:pPr>
          </w:p>
        </w:tc>
      </w:tr>
      <w:tr>
        <w:tblPrEx>
          <w:tblCellMar>
            <w:top w:w="0" w:type="dxa"/>
            <w:left w:w="108" w:type="dxa"/>
            <w:bottom w:w="0" w:type="dxa"/>
            <w:right w:w="108" w:type="dxa"/>
          </w:tblCellMar>
        </w:tblPrEx>
        <w:trPr>
          <w:trHeight w:val="2801"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03</w:t>
            </w:r>
          </w:p>
        </w:tc>
        <w:tc>
          <w:tcPr>
            <w:tcW w:w="18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胆汁酸谱样本萃取液和氨基酸谱样本萃取液</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300test/年</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1年</w:t>
            </w:r>
          </w:p>
        </w:tc>
        <w:tc>
          <w:tcPr>
            <w:tcW w:w="5010" w:type="dxa"/>
            <w:tcBorders>
              <w:top w:val="single" w:color="auto" w:sz="4" w:space="0"/>
              <w:left w:val="nil"/>
              <w:bottom w:val="single" w:color="auto" w:sz="4" w:space="0"/>
              <w:right w:val="single" w:color="auto" w:sz="4" w:space="0"/>
            </w:tcBorders>
            <w:noWrap w:val="0"/>
            <w:vAlign w:val="center"/>
          </w:tcPr>
          <w:tbl>
            <w:tblPr>
              <w:tblStyle w:val="14"/>
              <w:tblpPr w:leftFromText="180" w:rightFromText="180" w:vertAnchor="text" w:horzAnchor="page" w:tblpX="1622" w:tblpY="36"/>
              <w:tblOverlap w:val="never"/>
              <w:tblW w:w="10164" w:type="dxa"/>
              <w:tblInd w:w="0" w:type="dxa"/>
              <w:tblLayout w:type="fixed"/>
              <w:tblCellMar>
                <w:top w:w="0" w:type="dxa"/>
                <w:left w:w="108" w:type="dxa"/>
                <w:bottom w:w="0" w:type="dxa"/>
                <w:right w:w="108" w:type="dxa"/>
              </w:tblCellMar>
            </w:tblPr>
            <w:tblGrid>
              <w:gridCol w:w="5010"/>
            </w:tblGrid>
            <w:tr>
              <w:tblPrEx>
                <w:tblCellMar>
                  <w:top w:w="0" w:type="dxa"/>
                  <w:left w:w="108" w:type="dxa"/>
                  <w:bottom w:w="0" w:type="dxa"/>
                  <w:right w:w="108" w:type="dxa"/>
                </w:tblCellMar>
              </w:tblPrEx>
              <w:trPr>
                <w:trHeight w:val="2801" w:hRule="exact"/>
              </w:trPr>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drawing>
                      <wp:inline distT="0" distB="0" distL="114300" distR="114300">
                        <wp:extent cx="1257935" cy="1257935"/>
                        <wp:effectExtent l="0" t="0" r="18415" b="18415"/>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pic:cNvPicPr>
                              </pic:nvPicPr>
                              <pic:blipFill>
                                <a:blip r:embed="rId4"/>
                                <a:stretch>
                                  <a:fillRect/>
                                </a:stretch>
                              </pic:blipFill>
                              <pic:spPr>
                                <a:xfrm>
                                  <a:off x="0" y="0"/>
                                  <a:ext cx="1257935" cy="1257935"/>
                                </a:xfrm>
                                <a:prstGeom prst="rect">
                                  <a:avLst/>
                                </a:prstGeom>
                                <a:noFill/>
                                <a:ln w="9525">
                                  <a:noFill/>
                                </a:ln>
                              </pic:spPr>
                            </pic:pic>
                          </a:graphicData>
                        </a:graphic>
                      </wp:inline>
                    </w:drawing>
                  </w:r>
                </w:p>
                <w:p>
                  <w:pPr>
                    <w:widowControl/>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https://gysgl.shchildren.com.cn:9088/hospital-supplier/hospital/visit?pc=00009218</w:t>
                  </w:r>
                </w:p>
              </w:tc>
            </w:tr>
          </w:tbl>
          <w:p>
            <w:pPr>
              <w:widowControl/>
              <w:jc w:val="center"/>
              <w:rPr>
                <w:rFonts w:hint="eastAsia" w:ascii="宋体" w:hAnsi="宋体"/>
                <w:szCs w:val="21"/>
                <w:lang w:val="en-US" w:eastAsia="zh-CN"/>
              </w:rPr>
            </w:pPr>
          </w:p>
        </w:tc>
      </w:tr>
      <w:tr>
        <w:tblPrEx>
          <w:tblCellMar>
            <w:top w:w="0" w:type="dxa"/>
            <w:left w:w="108" w:type="dxa"/>
            <w:bottom w:w="0" w:type="dxa"/>
            <w:right w:w="108" w:type="dxa"/>
          </w:tblCellMar>
        </w:tblPrEx>
        <w:trPr>
          <w:trHeight w:val="2801" w:hRule="exact"/>
        </w:trPr>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04</w:t>
            </w:r>
          </w:p>
        </w:tc>
        <w:tc>
          <w:tcPr>
            <w:tcW w:w="18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脂肪酸谱样本萃取液和氨基酸谱样本萃取液</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300test/年</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1年</w:t>
            </w:r>
          </w:p>
        </w:tc>
        <w:tc>
          <w:tcPr>
            <w:tcW w:w="5010" w:type="dxa"/>
            <w:tcBorders>
              <w:top w:val="single" w:color="auto" w:sz="4" w:space="0"/>
              <w:left w:val="nil"/>
              <w:bottom w:val="single" w:color="auto" w:sz="4" w:space="0"/>
              <w:right w:val="single" w:color="auto" w:sz="4" w:space="0"/>
            </w:tcBorders>
            <w:noWrap w:val="0"/>
            <w:vAlign w:val="center"/>
          </w:tcPr>
          <w:tbl>
            <w:tblPr>
              <w:tblStyle w:val="14"/>
              <w:tblpPr w:leftFromText="180" w:rightFromText="180" w:vertAnchor="text" w:horzAnchor="page" w:tblpX="1622" w:tblpY="36"/>
              <w:tblOverlap w:val="never"/>
              <w:tblW w:w="10164" w:type="dxa"/>
              <w:tblInd w:w="0" w:type="dxa"/>
              <w:tblLayout w:type="fixed"/>
              <w:tblCellMar>
                <w:top w:w="0" w:type="dxa"/>
                <w:left w:w="108" w:type="dxa"/>
                <w:bottom w:w="0" w:type="dxa"/>
                <w:right w:w="108" w:type="dxa"/>
              </w:tblCellMar>
            </w:tblPr>
            <w:tblGrid>
              <w:gridCol w:w="5010"/>
            </w:tblGrid>
            <w:tr>
              <w:trPr>
                <w:trHeight w:val="2801" w:hRule="exact"/>
              </w:trPr>
              <w:tc>
                <w:tcPr>
                  <w:tcW w:w="50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drawing>
                      <wp:inline distT="0" distB="0" distL="114300" distR="114300">
                        <wp:extent cx="1257935" cy="1257935"/>
                        <wp:effectExtent l="0" t="0" r="18415" b="18415"/>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4"/>
                                <a:stretch>
                                  <a:fillRect/>
                                </a:stretch>
                              </pic:blipFill>
                              <pic:spPr>
                                <a:xfrm>
                                  <a:off x="0" y="0"/>
                                  <a:ext cx="1257935" cy="1257935"/>
                                </a:xfrm>
                                <a:prstGeom prst="rect">
                                  <a:avLst/>
                                </a:prstGeom>
                                <a:noFill/>
                                <a:ln w="9525">
                                  <a:noFill/>
                                </a:ln>
                              </pic:spPr>
                            </pic:pic>
                          </a:graphicData>
                        </a:graphic>
                      </wp:inline>
                    </w:drawing>
                  </w:r>
                </w:p>
                <w:p>
                  <w:pPr>
                    <w:widowControl/>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https://gysgl.shchildren.com.cn:9088/hospital-supplier/hospital/visit?pc=00009218</w:t>
                  </w:r>
                </w:p>
              </w:tc>
            </w:tr>
          </w:tbl>
          <w:p>
            <w:pPr>
              <w:widowControl/>
              <w:jc w:val="center"/>
              <w:rPr>
                <w:rFonts w:hint="eastAsia" w:ascii="宋体" w:hAnsi="宋体"/>
                <w:szCs w:val="21"/>
                <w:lang w:val="en-US" w:eastAsia="zh-CN"/>
              </w:rPr>
            </w:pPr>
          </w:p>
        </w:tc>
      </w:tr>
    </w:tbl>
    <w:p>
      <w:pPr>
        <w:pStyle w:val="12"/>
        <w:rPr>
          <w:rFonts w:hint="eastAsia" w:ascii="宋体" w:hAnsi="宋体" w:eastAsia="宋体" w:cs="宋体"/>
          <w:i w:val="0"/>
          <w:iCs w:val="0"/>
          <w:caps w:val="0"/>
          <w:color w:val="333333"/>
          <w:spacing w:val="0"/>
          <w:sz w:val="24"/>
          <w:szCs w:val="24"/>
          <w:shd w:val="clear" w:fill="FFFFFF"/>
        </w:rPr>
      </w:pPr>
    </w:p>
    <w:p>
      <w:pPr>
        <w:pStyle w:val="12"/>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说明：以上包件可投一个或多个包件，每个包件必须单独提供遴选响应文件。</w:t>
      </w:r>
    </w:p>
    <w:p>
      <w:pPr>
        <w:pStyle w:val="12"/>
        <w:rPr>
          <w:rFonts w:hint="eastAsia" w:ascii="宋体" w:hAnsi="宋体" w:eastAsia="宋体" w:cs="宋体"/>
          <w:i w:val="0"/>
          <w:iCs w:val="0"/>
          <w:caps w:val="0"/>
          <w:color w:val="333333"/>
          <w:spacing w:val="0"/>
          <w:sz w:val="24"/>
          <w:szCs w:val="24"/>
          <w:shd w:val="clear" w:fill="FFFFFF"/>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bookmarkStart w:id="0"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4、如投标人拟投标货物为医疗器械</w:t>
      </w:r>
      <w:r>
        <w:rPr>
          <w:rFonts w:hint="eastAsia" w:ascii="宋体" w:hAnsi="宋体" w:eastAsia="宋体" w:cs="宋体"/>
          <w:kern w:val="0"/>
          <w:sz w:val="24"/>
          <w:szCs w:val="24"/>
          <w:highlight w:val="none"/>
          <w:lang w:val="en-US" w:eastAsia="zh-CN"/>
        </w:rPr>
        <w:t>或试剂</w:t>
      </w:r>
      <w:r>
        <w:rPr>
          <w:rFonts w:hint="eastAsia" w:ascii="宋体" w:hAnsi="宋体" w:eastAsia="宋体" w:cs="宋体"/>
          <w:kern w:val="0"/>
          <w:sz w:val="24"/>
          <w:szCs w:val="24"/>
          <w:highlight w:val="none"/>
        </w:rPr>
        <w:t>，应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0"/>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default"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8</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8</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17</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2023年0</w:t>
      </w:r>
      <w:r>
        <w:rPr>
          <w:rFonts w:hint="eastAsia" w:cs="宋体"/>
          <w:b/>
          <w:bCs/>
          <w:color w:val="FF0000"/>
          <w:kern w:val="2"/>
          <w:sz w:val="24"/>
          <w:szCs w:val="24"/>
          <w:lang w:val="en-US" w:eastAsia="zh-CN" w:bidi="ar-SA"/>
        </w:rPr>
        <w:t>8</w:t>
      </w:r>
      <w:r>
        <w:rPr>
          <w:rFonts w:hint="eastAsia" w:ascii="宋体" w:hAnsi="宋体" w:eastAsia="宋体" w:cs="宋体"/>
          <w:b/>
          <w:bCs/>
          <w:color w:val="FF0000"/>
          <w:kern w:val="2"/>
          <w:sz w:val="24"/>
          <w:szCs w:val="24"/>
          <w:lang w:val="en-US" w:eastAsia="zh-CN" w:bidi="ar-SA"/>
        </w:rPr>
        <w:t>月</w:t>
      </w:r>
      <w:r>
        <w:rPr>
          <w:rFonts w:hint="eastAsia" w:cs="宋体"/>
          <w:b/>
          <w:bCs/>
          <w:color w:val="FF0000"/>
          <w:kern w:val="2"/>
          <w:sz w:val="24"/>
          <w:szCs w:val="24"/>
          <w:lang w:val="en-US" w:eastAsia="zh-CN" w:bidi="ar-SA"/>
        </w:rPr>
        <w:t>18</w:t>
      </w:r>
      <w:bookmarkStart w:id="1" w:name="_GoBack"/>
      <w:bookmarkEnd w:id="1"/>
      <w:r>
        <w:rPr>
          <w:rFonts w:hint="eastAsia" w:ascii="宋体" w:hAnsi="宋体" w:eastAsia="宋体" w:cs="宋体"/>
          <w:b/>
          <w:bCs/>
          <w:color w:val="FF0000"/>
          <w:kern w:val="2"/>
          <w:sz w:val="24"/>
          <w:szCs w:val="24"/>
          <w:lang w:val="en-US" w:eastAsia="zh-CN" w:bidi="ar-SA"/>
        </w:rPr>
        <w:t>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4"/>
        </w:numPr>
        <w:kinsoku/>
        <w:wordWrap w:val="0"/>
        <w:overflowPunct/>
        <w:topLinePunct w:val="0"/>
        <w:bidi w:val="0"/>
        <w:spacing w:line="46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遴选内容及要求</w:t>
      </w:r>
      <w:r>
        <w:rPr>
          <w:rFonts w:hint="eastAsia" w:ascii="宋体" w:hAnsi="宋体" w:eastAsia="宋体" w:cs="宋体"/>
          <w:b/>
          <w:bCs/>
          <w:kern w:val="0"/>
          <w:sz w:val="24"/>
          <w:szCs w:val="24"/>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p>
    <w:tbl>
      <w:tblPr>
        <w:tblStyle w:val="14"/>
        <w:tblW w:w="9276" w:type="dxa"/>
        <w:tblInd w:w="-25" w:type="dxa"/>
        <w:tblLayout w:type="autofit"/>
        <w:tblCellMar>
          <w:top w:w="0" w:type="dxa"/>
          <w:left w:w="108" w:type="dxa"/>
          <w:bottom w:w="0" w:type="dxa"/>
          <w:right w:w="108" w:type="dxa"/>
        </w:tblCellMar>
      </w:tblPr>
      <w:tblGrid>
        <w:gridCol w:w="1262"/>
        <w:gridCol w:w="7093"/>
        <w:gridCol w:w="921"/>
      </w:tblGrid>
      <w:tr>
        <w:tblPrEx>
          <w:tblCellMar>
            <w:top w:w="0" w:type="dxa"/>
            <w:left w:w="108" w:type="dxa"/>
            <w:bottom w:w="0" w:type="dxa"/>
            <w:right w:w="108" w:type="dxa"/>
          </w:tblCellMar>
        </w:tblPrEx>
        <w:trPr>
          <w:gridAfter w:val="1"/>
          <w:wAfter w:w="921" w:type="dxa"/>
          <w:trHeight w:val="610" w:hRule="atLeast"/>
        </w:trPr>
        <w:tc>
          <w:tcPr>
            <w:tcW w:w="8355" w:type="dxa"/>
            <w:gridSpan w:val="2"/>
            <w:tcBorders>
              <w:top w:val="nil"/>
              <w:left w:val="nil"/>
              <w:bottom w:val="nil"/>
              <w:right w:val="nil"/>
            </w:tcBorders>
            <w:shd w:val="clear" w:color="auto" w:fill="auto"/>
            <w:noWrap w:val="0"/>
            <w:vAlign w:val="center"/>
          </w:tcPr>
          <w:p>
            <w:pPr>
              <w:widowControl/>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第1包：</w:t>
            </w:r>
            <w:r>
              <w:rPr>
                <w:rFonts w:hint="eastAsia" w:asciiTheme="minorEastAsia" w:hAnsiTheme="minorEastAsia" w:eastAsiaTheme="minorEastAsia" w:cstheme="minorEastAsia"/>
                <w:color w:val="auto"/>
                <w:sz w:val="24"/>
                <w:szCs w:val="24"/>
                <w:lang w:val="en-US" w:eastAsia="zh-CN"/>
              </w:rPr>
              <w:t>一次性使用微量采血吸管</w:t>
            </w:r>
          </w:p>
        </w:tc>
      </w:tr>
      <w:tr>
        <w:tblPrEx>
          <w:tblCellMar>
            <w:top w:w="0" w:type="dxa"/>
            <w:left w:w="108" w:type="dxa"/>
            <w:bottom w:w="0" w:type="dxa"/>
            <w:right w:w="108" w:type="dxa"/>
          </w:tblCellMar>
        </w:tblPrEx>
        <w:trPr>
          <w:gridAfter w:val="1"/>
          <w:wAfter w:w="921" w:type="dxa"/>
          <w:trHeight w:val="780" w:hRule="atLeast"/>
        </w:trPr>
        <w:tc>
          <w:tcPr>
            <w:tcW w:w="8355" w:type="dxa"/>
            <w:gridSpan w:val="2"/>
            <w:tcBorders>
              <w:top w:val="nil"/>
              <w:left w:val="nil"/>
              <w:bottom w:val="nil"/>
              <w:right w:val="nil"/>
            </w:tcBorders>
            <w:shd w:val="clear" w:color="auto" w:fill="auto"/>
            <w:noWrap w:val="0"/>
            <w:vAlign w:val="center"/>
          </w:tcPr>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年预估使用量</w:t>
            </w:r>
            <w:r>
              <w:rPr>
                <w:rFonts w:hint="eastAsia" w:ascii="宋体" w:hAnsi="宋体" w:eastAsia="宋体" w:cs="宋体"/>
                <w:sz w:val="24"/>
                <w:szCs w:val="24"/>
              </w:rPr>
              <w:t>：</w:t>
            </w:r>
            <w:r>
              <w:rPr>
                <w:rFonts w:hint="eastAsia" w:ascii="宋体" w:hAnsi="宋体" w:eastAsia="宋体" w:cs="宋体"/>
                <w:sz w:val="24"/>
                <w:szCs w:val="24"/>
                <w:lang w:val="en-US" w:eastAsia="zh-CN"/>
              </w:rPr>
              <w:t>80000支/年</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sz w:val="24"/>
                <w:szCs w:val="24"/>
                <w:lang w:eastAsia="zh-CN"/>
              </w:rPr>
              <w:t>用途：用于人体末梢血液标本的收集、运输和贮存以及分析前处理。</w:t>
            </w:r>
          </w:p>
        </w:tc>
      </w:tr>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用途：用于人体末梢血液标本的收集、运输和贮存以及分析前处理。</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1.2.1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最大采样量：150ul</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1.2.2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抗凝剂：肝素钠抗凝</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1.2.3</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耗材属性：一次性毛细血管采血针</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1.2.4</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测定项目：血气项目PH、PCO</w:t>
            </w:r>
            <w:r>
              <w:rPr>
                <w:rFonts w:hint="eastAsia" w:ascii="宋体" w:hAnsi="宋体" w:eastAsia="宋体" w:cs="宋体"/>
                <w:color w:val="000000"/>
                <w:sz w:val="24"/>
                <w:szCs w:val="24"/>
                <w:vertAlign w:val="subscript"/>
                <w:lang w:eastAsia="zh-CN"/>
              </w:rPr>
              <w:t>2</w:t>
            </w:r>
            <w:r>
              <w:rPr>
                <w:rFonts w:hint="eastAsia" w:ascii="宋体" w:hAnsi="宋体" w:eastAsia="宋体" w:cs="宋体"/>
                <w:color w:val="000000"/>
                <w:sz w:val="24"/>
                <w:szCs w:val="24"/>
                <w:lang w:eastAsia="zh-CN"/>
              </w:rPr>
              <w:t>、PO</w:t>
            </w:r>
            <w:r>
              <w:rPr>
                <w:rFonts w:hint="eastAsia" w:ascii="宋体" w:hAnsi="宋体" w:eastAsia="宋体" w:cs="宋体"/>
                <w:color w:val="000000"/>
                <w:sz w:val="24"/>
                <w:szCs w:val="24"/>
                <w:vertAlign w:val="subscript"/>
                <w:lang w:eastAsia="zh-CN"/>
              </w:rPr>
              <w:t>2</w:t>
            </w:r>
            <w:r>
              <w:rPr>
                <w:rFonts w:hint="eastAsia" w:ascii="宋体" w:hAnsi="宋体" w:eastAsia="宋体" w:cs="宋体"/>
                <w:color w:val="000000"/>
                <w:sz w:val="24"/>
                <w:szCs w:val="24"/>
                <w:lang w:eastAsia="zh-CN"/>
              </w:rPr>
              <w:t>、Na+、K+、Ca++、GLU、Lac、HCT</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lang w:val="en-US" w:eastAsia="zh-CN"/>
        </w:rPr>
      </w:pPr>
    </w:p>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lang w:val="en-US" w:eastAsia="zh-CN"/>
        </w:rPr>
      </w:pPr>
    </w:p>
    <w:tbl>
      <w:tblPr>
        <w:tblStyle w:val="14"/>
        <w:tblW w:w="9276" w:type="dxa"/>
        <w:tblInd w:w="-25" w:type="dxa"/>
        <w:tblLayout w:type="autofit"/>
        <w:tblCellMar>
          <w:top w:w="0" w:type="dxa"/>
          <w:left w:w="108" w:type="dxa"/>
          <w:bottom w:w="0" w:type="dxa"/>
          <w:right w:w="108" w:type="dxa"/>
        </w:tblCellMar>
      </w:tblPr>
      <w:tblGrid>
        <w:gridCol w:w="1262"/>
        <w:gridCol w:w="8014"/>
      </w:tblGrid>
      <w:tr>
        <w:tblPrEx>
          <w:tblCellMar>
            <w:top w:w="0" w:type="dxa"/>
            <w:left w:w="108" w:type="dxa"/>
            <w:bottom w:w="0" w:type="dxa"/>
            <w:right w:w="108" w:type="dxa"/>
          </w:tblCellMar>
        </w:tblPrEx>
        <w:trPr>
          <w:trHeight w:val="522" w:hRule="atLeast"/>
        </w:trPr>
        <w:tc>
          <w:tcPr>
            <w:tcW w:w="9276" w:type="dxa"/>
            <w:gridSpan w:val="2"/>
            <w:tcBorders>
              <w:top w:val="nil"/>
              <w:left w:val="nil"/>
              <w:bottom w:val="nil"/>
              <w:right w:val="nil"/>
            </w:tcBorders>
            <w:shd w:val="clear" w:color="auto" w:fill="auto"/>
            <w:noWrap w:val="0"/>
            <w:vAlign w:val="center"/>
          </w:tcPr>
          <w:p>
            <w:pPr>
              <w:widowControl/>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第2包：</w:t>
            </w:r>
            <w:r>
              <w:rPr>
                <w:rFonts w:hint="eastAsia" w:asciiTheme="minorEastAsia" w:hAnsiTheme="minorEastAsia" w:eastAsiaTheme="minorEastAsia" w:cstheme="minorEastAsia"/>
                <w:color w:val="auto"/>
                <w:sz w:val="24"/>
                <w:szCs w:val="24"/>
                <w:lang w:val="en-US" w:eastAsia="zh-CN"/>
              </w:rPr>
              <w:t>25羟基维生素D2/D3样本萃取液</w:t>
            </w:r>
          </w:p>
        </w:tc>
      </w:tr>
      <w:tr>
        <w:tblPrEx>
          <w:tblCellMar>
            <w:top w:w="0" w:type="dxa"/>
            <w:left w:w="108" w:type="dxa"/>
            <w:bottom w:w="0" w:type="dxa"/>
            <w:right w:w="108" w:type="dxa"/>
          </w:tblCellMar>
        </w:tblPrEx>
        <w:trPr>
          <w:trHeight w:val="306" w:hRule="atLeast"/>
        </w:trPr>
        <w:tc>
          <w:tcPr>
            <w:tcW w:w="9276" w:type="dxa"/>
            <w:gridSpan w:val="2"/>
            <w:tcBorders>
              <w:top w:val="nil"/>
              <w:left w:val="nil"/>
              <w:bottom w:val="nil"/>
              <w:right w:val="nil"/>
            </w:tcBorders>
            <w:shd w:val="clear" w:color="auto" w:fill="auto"/>
            <w:noWrap w:val="0"/>
            <w:vAlign w:val="center"/>
          </w:tcPr>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年预估使用量：4000test/年</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sz w:val="24"/>
                <w:szCs w:val="24"/>
                <w:lang w:val="en-US" w:eastAsia="zh-CN"/>
              </w:rPr>
              <w:t>用途：对血清样本进入液相色谱质谱仪之前提取和纯化单羟基维生素D2/D3待测物，并辅助上机的定性和定量化分析检测。</w:t>
            </w:r>
          </w:p>
        </w:tc>
      </w:tr>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用途： 对血清样本进入液相色谱质谱仪之前提取和纯化单羟基维生素D2/D3待测物，并辅助上机的定性和定量化分析检测</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校准曲线：维生素D2的线性下限(ng/mL) ≤0.5ng/mL；维生素D3的线性下限(ng/mL) ≤0.5ng/mL；维生素D2的线性上限(ng/mL) ≥100ng/mL；维生素D3的线性上限(ng/mL) ≥100ng/mL；相关系数大于0.99。</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维生素D2线性范围≥150倍；维生素D3线性范围≥150倍；</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维生素D2和维生素D3灵敏度：最低定量限≤0.5ng/mL；</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低浓度质控（LQC）和高浓度质控（HQC）的日内准确度和日间准确度均在85%-115%之间。</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低浓度质控（LQC）和高浓度质控（HQC）日内精密度和日间精密度均小于15%。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低浓度质控（LQC）和高浓度质控（HQC）基质效应变异系数小于15%。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低浓度质控（LQC）和高浓度质控（HQC）提取回收率变异系数小于15%。</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306" w:hRule="atLeast"/>
        </w:trPr>
        <w:tc>
          <w:tcPr>
            <w:tcW w:w="9276" w:type="dxa"/>
            <w:gridSpan w:val="2"/>
            <w:tcBorders>
              <w:top w:val="nil"/>
              <w:left w:val="nil"/>
              <w:bottom w:val="nil"/>
              <w:right w:val="nil"/>
            </w:tcBorders>
            <w:shd w:val="clear" w:color="auto" w:fill="auto"/>
            <w:noWrap w:val="0"/>
            <w:vAlign w:val="center"/>
          </w:tcPr>
          <w:p>
            <w:pPr>
              <w:widowControl/>
              <w:jc w:val="left"/>
              <w:rPr>
                <w:rFonts w:hint="eastAsia" w:asciiTheme="minorEastAsia" w:hAnsiTheme="minorEastAsia" w:eastAsiaTheme="minorEastAsia" w:cstheme="minorEastAsia"/>
                <w:color w:val="auto"/>
                <w:sz w:val="24"/>
                <w:szCs w:val="24"/>
                <w:lang w:val="en-US" w:eastAsia="zh-CN"/>
              </w:rPr>
            </w:pPr>
          </w:p>
          <w:p>
            <w:pPr>
              <w:widowControl/>
              <w:jc w:val="left"/>
              <w:rPr>
                <w:rFonts w:hint="eastAsia" w:asciiTheme="minorEastAsia" w:hAnsiTheme="minorEastAsia" w:eastAsiaTheme="minorEastAsia" w:cstheme="minorEastAsia"/>
                <w:color w:val="auto"/>
                <w:sz w:val="24"/>
                <w:szCs w:val="24"/>
                <w:lang w:val="en-US" w:eastAsia="zh-CN"/>
              </w:rPr>
            </w:pPr>
          </w:p>
          <w:p>
            <w:pPr>
              <w:widowControl/>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第3包：</w:t>
            </w:r>
            <w:r>
              <w:rPr>
                <w:rFonts w:hint="eastAsia" w:asciiTheme="minorEastAsia" w:hAnsiTheme="minorEastAsia" w:eastAsiaTheme="minorEastAsia" w:cstheme="minorEastAsia"/>
                <w:color w:val="auto"/>
                <w:sz w:val="24"/>
                <w:szCs w:val="24"/>
                <w:lang w:val="en-US" w:eastAsia="zh-CN"/>
              </w:rPr>
              <w:t>胆汁酸谱样本萃取液和氨基酸谱样本萃取液</w:t>
            </w:r>
          </w:p>
        </w:tc>
      </w:tr>
      <w:tr>
        <w:tblPrEx>
          <w:tblCellMar>
            <w:top w:w="0" w:type="dxa"/>
            <w:left w:w="108" w:type="dxa"/>
            <w:bottom w:w="0" w:type="dxa"/>
            <w:right w:w="108" w:type="dxa"/>
          </w:tblCellMar>
        </w:tblPrEx>
        <w:trPr>
          <w:trHeight w:val="306" w:hRule="atLeast"/>
        </w:trPr>
        <w:tc>
          <w:tcPr>
            <w:tcW w:w="9276" w:type="dxa"/>
            <w:gridSpan w:val="2"/>
            <w:tcBorders>
              <w:top w:val="nil"/>
              <w:left w:val="nil"/>
              <w:bottom w:val="nil"/>
              <w:right w:val="nil"/>
            </w:tcBorders>
            <w:shd w:val="clear" w:color="auto" w:fill="auto"/>
            <w:noWrap w:val="0"/>
            <w:vAlign w:val="center"/>
          </w:tcPr>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年预估使用量：300test/年</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sz w:val="24"/>
                <w:szCs w:val="24"/>
                <w:lang w:val="en-US" w:eastAsia="zh-CN"/>
              </w:rPr>
              <w:t>用途：对生物样品进行处理，在样品注入液相色谱质谱联用仪之前，提取和纯化待测胆汁酸谱和氨基酸谱。</w:t>
            </w:r>
          </w:p>
        </w:tc>
      </w:tr>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用途： 对生物样品进行处理，在样品注入液相色谱质谱联用仪之前，提取和纯化待测胆汁酸谱和氨基酸谱。</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技术参数与产品特征</w:t>
            </w:r>
          </w:p>
        </w:tc>
      </w:tr>
      <w:tr>
        <w:tblPrEx>
          <w:tblCellMar>
            <w:top w:w="0" w:type="dxa"/>
            <w:left w:w="108" w:type="dxa"/>
            <w:bottom w:w="0" w:type="dxa"/>
            <w:right w:w="108" w:type="dxa"/>
          </w:tblCellMar>
        </w:tblPrEx>
        <w:trPr>
          <w:trHeight w:val="90"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1.2.1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校准曲线：甘氨石胆酸的线性下限(nmol/L)≤ 1.0 nmol/L；氨基酸线性下限(μmol/L) ≤5μmol/L；甘氨鹅去氧胆酸、甘氨去氧胆酸的线性上限( nmol/L )≥ 8000 nmol/L；氨基酸线性上限(μmol/L)≥ 1000μmol/L；相关系数大于0.99。</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线性范围≥400倍。</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bidi="ar"/>
              </w:rPr>
              <w:t>1.2.3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易用性：使用沉淀蛋白法进行样品的预处理步骤，不使用固相萃取或者吹干浓缩等复杂操作步骤，操作简单，时间成本低。</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1.2.4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低浓度质控（LQC）和高浓度质控（HQC）的日内准确度和日间准确度均在85%-115%之间。</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1.2.5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低浓度质控（LQC）和高浓度质控（HQC）日内精密度和日间精密度均小于15%。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1.2.6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低浓度质控（LQC）和高浓度质控（HQC）基质效应变异系数小于15%。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bidi="ar"/>
              </w:rPr>
              <w:t>1.2.7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eastAsia="zh-CN"/>
              </w:rPr>
              <w:t>低浓度质控（LQC）和高浓度质控（HQC）提取回收率变异系数小于15%。</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1226" w:hRule="atLeast"/>
        </w:trPr>
        <w:tc>
          <w:tcPr>
            <w:tcW w:w="9276" w:type="dxa"/>
            <w:gridSpan w:val="2"/>
            <w:tcBorders>
              <w:top w:val="nil"/>
              <w:left w:val="nil"/>
              <w:bottom w:val="nil"/>
              <w:right w:val="nil"/>
            </w:tcBorders>
            <w:shd w:val="clear" w:color="auto" w:fill="auto"/>
            <w:noWrap w:val="0"/>
            <w:vAlign w:val="center"/>
          </w:tcPr>
          <w:p>
            <w:pPr>
              <w:widowControl/>
              <w:jc w:val="left"/>
              <w:rPr>
                <w:rFonts w:hint="eastAsia" w:asciiTheme="minorEastAsia" w:hAnsiTheme="minorEastAsia" w:eastAsiaTheme="minorEastAsia" w:cstheme="minorEastAsia"/>
                <w:color w:val="auto"/>
                <w:sz w:val="24"/>
                <w:szCs w:val="24"/>
                <w:lang w:val="en-US" w:eastAsia="zh-CN"/>
              </w:rPr>
            </w:pPr>
          </w:p>
          <w:p>
            <w:pPr>
              <w:widowControl/>
              <w:jc w:val="left"/>
              <w:rPr>
                <w:rFonts w:hint="eastAsia" w:asciiTheme="minorEastAsia" w:hAnsiTheme="minorEastAsia" w:eastAsiaTheme="minorEastAsia" w:cstheme="minorEastAsia"/>
                <w:color w:val="auto"/>
                <w:sz w:val="24"/>
                <w:szCs w:val="24"/>
                <w:lang w:val="en-US" w:eastAsia="zh-CN"/>
              </w:rPr>
            </w:pPr>
          </w:p>
          <w:p>
            <w:pPr>
              <w:widowControl/>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第4包：</w:t>
            </w:r>
            <w:r>
              <w:rPr>
                <w:rFonts w:hint="eastAsia" w:asciiTheme="minorEastAsia" w:hAnsiTheme="minorEastAsia" w:eastAsiaTheme="minorEastAsia" w:cstheme="minorEastAsia"/>
                <w:color w:val="auto"/>
                <w:sz w:val="24"/>
                <w:szCs w:val="24"/>
                <w:lang w:val="en-US" w:eastAsia="zh-CN"/>
              </w:rPr>
              <w:t>脂肪酸谱样本萃取液和氨基酸谱样本萃取液</w:t>
            </w:r>
          </w:p>
        </w:tc>
      </w:tr>
      <w:tr>
        <w:tblPrEx>
          <w:tblCellMar>
            <w:top w:w="0" w:type="dxa"/>
            <w:left w:w="108" w:type="dxa"/>
            <w:bottom w:w="0" w:type="dxa"/>
            <w:right w:w="108" w:type="dxa"/>
          </w:tblCellMar>
        </w:tblPrEx>
        <w:trPr>
          <w:trHeight w:val="306" w:hRule="atLeast"/>
        </w:trPr>
        <w:tc>
          <w:tcPr>
            <w:tcW w:w="9276" w:type="dxa"/>
            <w:gridSpan w:val="2"/>
            <w:tcBorders>
              <w:top w:val="nil"/>
              <w:left w:val="nil"/>
              <w:bottom w:val="nil"/>
              <w:right w:val="nil"/>
            </w:tcBorders>
            <w:shd w:val="clear" w:color="auto" w:fill="auto"/>
            <w:noWrap w:val="0"/>
            <w:vAlign w:val="center"/>
          </w:tcPr>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年预估使用量：300test/年</w:t>
            </w:r>
          </w:p>
          <w:p>
            <w:pPr>
              <w:pStyle w:val="29"/>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sz w:val="24"/>
                <w:szCs w:val="24"/>
                <w:lang w:val="en-US" w:eastAsia="zh-CN"/>
              </w:rPr>
              <w:t>用途：对生物样品进行处理，在样品注入液相色谱质谱联用仪之前，提取和纯化待测脂肪酸谱和氨基酸谱。</w:t>
            </w:r>
          </w:p>
        </w:tc>
      </w:tr>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用途：对生物样品进行处理，在样品注入液相色谱质谱联用仪之前，提取和纯化待测脂肪酸谱和氨基酸谱。</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1.2.1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校准曲线：C20:1、C20:5、n6-C22:5的线性下限(nmol/L)≤0.02nmol/mL；氨基酸线性下限(μmol/L) ≤5μmol/L；C18:1、C18:2的线性上限( nmol/L )≥500nmol/mLL；氨基酸线性上限(μmol/L)≥ 1000μmol/L；相关系数大于0.99。</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线性范围≥400倍。</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易用性：使用沉淀蛋白法进行样品的预处理步骤，不使用固相萃取或者吹干浓缩等复杂操作步骤，操作简单，时间成本低。</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低浓度质控（LQC）和高浓度质控（HQC）的日内准确度和日间准确度均在85%-115%之间。</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低浓度质控（LQC）和高浓度质控（HQC）日内精密度和日间精密度均小于15%。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低浓度质控（LQC）和高浓度质控（HQC）基质效应变异系数小于15%。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低浓度质控（LQC）和高浓度质控（HQC）提取回收率变异系数小于15%。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适配仪器：液相色谱串联质谱检测系统 LCMS-8040CL</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lang w:val="en-US" w:eastAsia="zh-CN"/>
        </w:rPr>
      </w:pPr>
    </w:p>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1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12"/>
        <w:rPr>
          <w:rFonts w:hint="eastAsia" w:ascii="宋体" w:hAnsi="宋体" w:eastAsia="宋体" w:cs="宋体"/>
          <w:b/>
          <w:bCs/>
          <w:kern w:val="0"/>
          <w:sz w:val="28"/>
          <w:szCs w:val="28"/>
        </w:rPr>
      </w:pPr>
    </w:p>
    <w:p>
      <w:pPr>
        <w:pStyle w:val="1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12"/>
        <w:rPr>
          <w:rFonts w:hint="eastAsia" w:ascii="宋体" w:hAnsi="宋体" w:eastAsia="宋体" w:cs="宋体"/>
          <w:b/>
          <w:sz w:val="32"/>
          <w:szCs w:val="20"/>
        </w:rPr>
      </w:pPr>
    </w:p>
    <w:p>
      <w:pPr>
        <w:pStyle w:val="1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4"/>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pStyle w:val="4"/>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1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4"/>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4"/>
        <w:jc w:val="right"/>
        <w:rPr>
          <w:rFonts w:hint="eastAsia" w:ascii="宋体" w:hAnsi="宋体" w:eastAsia="宋体" w:cs="宋体"/>
          <w:strike/>
          <w:dstrike w:val="0"/>
          <w:sz w:val="21"/>
          <w:szCs w:val="18"/>
          <w:u w:val="none"/>
        </w:rPr>
      </w:pP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4"/>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4"/>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4"/>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4"/>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4"/>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4"/>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4"/>
        <w:numPr>
          <w:ilvl w:val="0"/>
          <w:numId w:val="6"/>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4"/>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4"/>
        <w:numPr>
          <w:ilvl w:val="0"/>
          <w:numId w:val="6"/>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4"/>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4"/>
        <w:keepNext w:val="0"/>
        <w:keepLines w:val="0"/>
        <w:pageBreakBefore w:val="0"/>
        <w:widowControl w:val="0"/>
        <w:numPr>
          <w:ilvl w:val="0"/>
          <w:numId w:val="6"/>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4"/>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4"/>
        <w:rPr>
          <w:rFonts w:hint="eastAsia" w:ascii="宋体" w:hAnsi="宋体" w:eastAsia="宋体" w:cs="宋体"/>
          <w:sz w:val="24"/>
        </w:rPr>
      </w:pPr>
    </w:p>
    <w:p>
      <w:pPr>
        <w:pStyle w:val="4"/>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181E6534"/>
    <w:multiLevelType w:val="singleLevel"/>
    <w:tmpl w:val="181E6534"/>
    <w:lvl w:ilvl="0" w:tentative="0">
      <w:start w:val="4"/>
      <w:numFmt w:val="chineseCounting"/>
      <w:suff w:val="nothing"/>
      <w:lvlText w:val="%1、"/>
      <w:lvlJc w:val="left"/>
      <w:rPr>
        <w:rFonts w:hint="eastAsia"/>
      </w:rPr>
    </w:lvl>
  </w:abstractNum>
  <w:abstractNum w:abstractNumId="3">
    <w:nsid w:val="222D1A1C"/>
    <w:multiLevelType w:val="singleLevel"/>
    <w:tmpl w:val="222D1A1C"/>
    <w:lvl w:ilvl="0" w:tentative="0">
      <w:start w:val="1"/>
      <w:numFmt w:val="decimal"/>
      <w:lvlText w:val="(%1)"/>
      <w:lvlJc w:val="left"/>
      <w:pPr>
        <w:ind w:left="425" w:hanging="425"/>
      </w:pPr>
      <w:rPr>
        <w:rFonts w:hint="default"/>
      </w:rPr>
    </w:lvl>
  </w:abstractNum>
  <w:abstractNum w:abstractNumId="4">
    <w:nsid w:val="4E91D29F"/>
    <w:multiLevelType w:val="singleLevel"/>
    <w:tmpl w:val="4E91D29F"/>
    <w:lvl w:ilvl="0" w:tentative="0">
      <w:start w:val="1"/>
      <w:numFmt w:val="chineseCounting"/>
      <w:suff w:val="nothing"/>
      <w:lvlText w:val="%1、"/>
      <w:lvlJc w:val="left"/>
      <w:rPr>
        <w:rFonts w:hint="eastAsia"/>
      </w:rPr>
    </w:lvl>
  </w:abstractNum>
  <w:abstractNum w:abstractNumId="5">
    <w:nsid w:val="79E1DEBA"/>
    <w:multiLevelType w:val="singleLevel"/>
    <w:tmpl w:val="79E1DEBA"/>
    <w:lvl w:ilvl="0" w:tentative="0">
      <w:start w:val="2"/>
      <w:numFmt w:val="decimal"/>
      <w:suff w:val="nothing"/>
      <w:lvlText w:val="%1、"/>
      <w:lvlJc w:val="left"/>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D35164"/>
    <w:rsid w:val="01F9035B"/>
    <w:rsid w:val="023820D4"/>
    <w:rsid w:val="029B70E4"/>
    <w:rsid w:val="0320091C"/>
    <w:rsid w:val="03595555"/>
    <w:rsid w:val="03B66504"/>
    <w:rsid w:val="03BB1D6C"/>
    <w:rsid w:val="04E94BD0"/>
    <w:rsid w:val="05216C28"/>
    <w:rsid w:val="052E38E1"/>
    <w:rsid w:val="056B77C2"/>
    <w:rsid w:val="05CB1B9D"/>
    <w:rsid w:val="06456F2F"/>
    <w:rsid w:val="066D71B8"/>
    <w:rsid w:val="068078D5"/>
    <w:rsid w:val="068B266B"/>
    <w:rsid w:val="06AE7D15"/>
    <w:rsid w:val="06DF3030"/>
    <w:rsid w:val="06E077D2"/>
    <w:rsid w:val="06ED51F8"/>
    <w:rsid w:val="0716207E"/>
    <w:rsid w:val="075F4276"/>
    <w:rsid w:val="078C79FB"/>
    <w:rsid w:val="079E0DE6"/>
    <w:rsid w:val="07C30482"/>
    <w:rsid w:val="08322F87"/>
    <w:rsid w:val="085330F2"/>
    <w:rsid w:val="08BC690A"/>
    <w:rsid w:val="093D185A"/>
    <w:rsid w:val="098B21E0"/>
    <w:rsid w:val="099B1637"/>
    <w:rsid w:val="09B8083D"/>
    <w:rsid w:val="0B3D54C6"/>
    <w:rsid w:val="0BD151AB"/>
    <w:rsid w:val="0C321039"/>
    <w:rsid w:val="0CD67C16"/>
    <w:rsid w:val="0D1424ED"/>
    <w:rsid w:val="0D2766C4"/>
    <w:rsid w:val="0D5170BE"/>
    <w:rsid w:val="0D585E47"/>
    <w:rsid w:val="0E0E1B9E"/>
    <w:rsid w:val="0E532263"/>
    <w:rsid w:val="0F1A1939"/>
    <w:rsid w:val="0F3D21CF"/>
    <w:rsid w:val="0F703B3A"/>
    <w:rsid w:val="0FAF41DB"/>
    <w:rsid w:val="0FB9281A"/>
    <w:rsid w:val="108E2F51"/>
    <w:rsid w:val="10AF4D9F"/>
    <w:rsid w:val="10C91DD2"/>
    <w:rsid w:val="10FA49AA"/>
    <w:rsid w:val="11114207"/>
    <w:rsid w:val="11711B25"/>
    <w:rsid w:val="11BD75F7"/>
    <w:rsid w:val="120C459D"/>
    <w:rsid w:val="12140B53"/>
    <w:rsid w:val="1279351E"/>
    <w:rsid w:val="129206FB"/>
    <w:rsid w:val="130D3C66"/>
    <w:rsid w:val="131B2827"/>
    <w:rsid w:val="1335254F"/>
    <w:rsid w:val="148D505F"/>
    <w:rsid w:val="14F275B8"/>
    <w:rsid w:val="155201C7"/>
    <w:rsid w:val="166D01D8"/>
    <w:rsid w:val="16C30F0C"/>
    <w:rsid w:val="17365260"/>
    <w:rsid w:val="175F4F16"/>
    <w:rsid w:val="177A1C19"/>
    <w:rsid w:val="177F6146"/>
    <w:rsid w:val="1790318F"/>
    <w:rsid w:val="179D1A5D"/>
    <w:rsid w:val="17C57205"/>
    <w:rsid w:val="17C70888"/>
    <w:rsid w:val="183C505B"/>
    <w:rsid w:val="18717308"/>
    <w:rsid w:val="18B34AB1"/>
    <w:rsid w:val="1926004F"/>
    <w:rsid w:val="19A420BC"/>
    <w:rsid w:val="19BA433D"/>
    <w:rsid w:val="19C9617A"/>
    <w:rsid w:val="1A2D618B"/>
    <w:rsid w:val="1A5C4D89"/>
    <w:rsid w:val="1A5D3BB3"/>
    <w:rsid w:val="1A8E11FB"/>
    <w:rsid w:val="1AAD44D4"/>
    <w:rsid w:val="1B32070E"/>
    <w:rsid w:val="1B8D049E"/>
    <w:rsid w:val="1BA50EE0"/>
    <w:rsid w:val="1BD210C1"/>
    <w:rsid w:val="1BE71836"/>
    <w:rsid w:val="1C085564"/>
    <w:rsid w:val="1C343CE4"/>
    <w:rsid w:val="1C365FDC"/>
    <w:rsid w:val="1C5E21CF"/>
    <w:rsid w:val="1C7A236C"/>
    <w:rsid w:val="1CA91663"/>
    <w:rsid w:val="1CE23E5A"/>
    <w:rsid w:val="1D45611D"/>
    <w:rsid w:val="1D731224"/>
    <w:rsid w:val="1DA46C3C"/>
    <w:rsid w:val="1DBF4DF8"/>
    <w:rsid w:val="1E1C1F51"/>
    <w:rsid w:val="1E8804B0"/>
    <w:rsid w:val="1F2F42FD"/>
    <w:rsid w:val="1F3B1B5F"/>
    <w:rsid w:val="1FE07BE7"/>
    <w:rsid w:val="202E30FB"/>
    <w:rsid w:val="203B617F"/>
    <w:rsid w:val="20447CA5"/>
    <w:rsid w:val="20592EC7"/>
    <w:rsid w:val="20BD5BD5"/>
    <w:rsid w:val="20D0553A"/>
    <w:rsid w:val="20D70AF5"/>
    <w:rsid w:val="214C5AEE"/>
    <w:rsid w:val="21861547"/>
    <w:rsid w:val="21D03BEA"/>
    <w:rsid w:val="21D93070"/>
    <w:rsid w:val="221E4789"/>
    <w:rsid w:val="22424B06"/>
    <w:rsid w:val="231150AD"/>
    <w:rsid w:val="235D481E"/>
    <w:rsid w:val="23692964"/>
    <w:rsid w:val="237A6EBD"/>
    <w:rsid w:val="237F418C"/>
    <w:rsid w:val="23B63AF4"/>
    <w:rsid w:val="23E834D5"/>
    <w:rsid w:val="24BD373E"/>
    <w:rsid w:val="2500187D"/>
    <w:rsid w:val="257858B7"/>
    <w:rsid w:val="25C02FB0"/>
    <w:rsid w:val="25D074A1"/>
    <w:rsid w:val="26323CB8"/>
    <w:rsid w:val="27A65FA1"/>
    <w:rsid w:val="27C75FB7"/>
    <w:rsid w:val="28367292"/>
    <w:rsid w:val="28EC2844"/>
    <w:rsid w:val="294E6773"/>
    <w:rsid w:val="29DD71B3"/>
    <w:rsid w:val="2A0A052A"/>
    <w:rsid w:val="2B08526E"/>
    <w:rsid w:val="2B106106"/>
    <w:rsid w:val="2B856638"/>
    <w:rsid w:val="2BCE4483"/>
    <w:rsid w:val="2C0606D5"/>
    <w:rsid w:val="2C3D5164"/>
    <w:rsid w:val="2C862048"/>
    <w:rsid w:val="2D480748"/>
    <w:rsid w:val="2DC33D1F"/>
    <w:rsid w:val="2E4E2C28"/>
    <w:rsid w:val="2E525E2F"/>
    <w:rsid w:val="2E530C6F"/>
    <w:rsid w:val="2E6220A5"/>
    <w:rsid w:val="2EC155DB"/>
    <w:rsid w:val="2ED718A0"/>
    <w:rsid w:val="2F323D93"/>
    <w:rsid w:val="2F5A4355"/>
    <w:rsid w:val="2F6B3D97"/>
    <w:rsid w:val="2F8A6A30"/>
    <w:rsid w:val="2F9024D5"/>
    <w:rsid w:val="30806547"/>
    <w:rsid w:val="308C0468"/>
    <w:rsid w:val="30FF1B96"/>
    <w:rsid w:val="31217972"/>
    <w:rsid w:val="313E79B5"/>
    <w:rsid w:val="31415E8B"/>
    <w:rsid w:val="31B22151"/>
    <w:rsid w:val="323675CF"/>
    <w:rsid w:val="323A48DC"/>
    <w:rsid w:val="32E1056F"/>
    <w:rsid w:val="3301085B"/>
    <w:rsid w:val="33DE7E06"/>
    <w:rsid w:val="34083549"/>
    <w:rsid w:val="34BB30CA"/>
    <w:rsid w:val="34E42337"/>
    <w:rsid w:val="34EF0B8D"/>
    <w:rsid w:val="35D5013C"/>
    <w:rsid w:val="35E72D81"/>
    <w:rsid w:val="35EB3F55"/>
    <w:rsid w:val="368E0A67"/>
    <w:rsid w:val="36ED1E34"/>
    <w:rsid w:val="3733163E"/>
    <w:rsid w:val="375E30CC"/>
    <w:rsid w:val="37AF33BA"/>
    <w:rsid w:val="37ED5C91"/>
    <w:rsid w:val="38E20F2A"/>
    <w:rsid w:val="39CE1AF2"/>
    <w:rsid w:val="39D71739"/>
    <w:rsid w:val="39EC238C"/>
    <w:rsid w:val="3A110C5D"/>
    <w:rsid w:val="3A3662F3"/>
    <w:rsid w:val="3A4F6109"/>
    <w:rsid w:val="3A9F3E75"/>
    <w:rsid w:val="3AC3027E"/>
    <w:rsid w:val="3AF13B97"/>
    <w:rsid w:val="3B111A40"/>
    <w:rsid w:val="3B2C087E"/>
    <w:rsid w:val="3B2D5B23"/>
    <w:rsid w:val="3B595FFE"/>
    <w:rsid w:val="3BC07CAC"/>
    <w:rsid w:val="3BCC21F1"/>
    <w:rsid w:val="3BD5458B"/>
    <w:rsid w:val="3C28373B"/>
    <w:rsid w:val="3C6E2356"/>
    <w:rsid w:val="3C8F5568"/>
    <w:rsid w:val="3CBB5598"/>
    <w:rsid w:val="3CE0537E"/>
    <w:rsid w:val="3D3C57FF"/>
    <w:rsid w:val="3D7831DE"/>
    <w:rsid w:val="3DA71EFB"/>
    <w:rsid w:val="3DE025C2"/>
    <w:rsid w:val="3E4B04D0"/>
    <w:rsid w:val="3E916326"/>
    <w:rsid w:val="3EDE27D7"/>
    <w:rsid w:val="3EEE4FED"/>
    <w:rsid w:val="3F961A5B"/>
    <w:rsid w:val="3FC320AE"/>
    <w:rsid w:val="3FE35A0C"/>
    <w:rsid w:val="40214546"/>
    <w:rsid w:val="40307C5E"/>
    <w:rsid w:val="40BD62C9"/>
    <w:rsid w:val="40DC581F"/>
    <w:rsid w:val="411F46A5"/>
    <w:rsid w:val="413B181B"/>
    <w:rsid w:val="41E51367"/>
    <w:rsid w:val="42794CFD"/>
    <w:rsid w:val="42EA1B55"/>
    <w:rsid w:val="43572B58"/>
    <w:rsid w:val="43AF4742"/>
    <w:rsid w:val="43BF292A"/>
    <w:rsid w:val="44CF3F6B"/>
    <w:rsid w:val="45394A3E"/>
    <w:rsid w:val="4551058A"/>
    <w:rsid w:val="469F40CF"/>
    <w:rsid w:val="46DB30D4"/>
    <w:rsid w:val="46E77B6B"/>
    <w:rsid w:val="470F02C7"/>
    <w:rsid w:val="4747106E"/>
    <w:rsid w:val="47C63E08"/>
    <w:rsid w:val="47F92430"/>
    <w:rsid w:val="481366AF"/>
    <w:rsid w:val="482C6B18"/>
    <w:rsid w:val="483A1969"/>
    <w:rsid w:val="489D3BB8"/>
    <w:rsid w:val="48B620CF"/>
    <w:rsid w:val="48D461F6"/>
    <w:rsid w:val="48F86243"/>
    <w:rsid w:val="4A1B043B"/>
    <w:rsid w:val="4A995A85"/>
    <w:rsid w:val="4ABA6F52"/>
    <w:rsid w:val="4B137364"/>
    <w:rsid w:val="4B500246"/>
    <w:rsid w:val="4B692C1A"/>
    <w:rsid w:val="4B830252"/>
    <w:rsid w:val="4BC24A77"/>
    <w:rsid w:val="4BC37A29"/>
    <w:rsid w:val="4BDD711F"/>
    <w:rsid w:val="4C1B3BB0"/>
    <w:rsid w:val="4C5C48CE"/>
    <w:rsid w:val="4CBC7DCF"/>
    <w:rsid w:val="4CCA2576"/>
    <w:rsid w:val="4D021D86"/>
    <w:rsid w:val="4DFA7795"/>
    <w:rsid w:val="4E7B594C"/>
    <w:rsid w:val="4E825093"/>
    <w:rsid w:val="4E972115"/>
    <w:rsid w:val="4EA308F0"/>
    <w:rsid w:val="4EC053BC"/>
    <w:rsid w:val="4F1721D6"/>
    <w:rsid w:val="4F350E27"/>
    <w:rsid w:val="4F8E345D"/>
    <w:rsid w:val="50155B4A"/>
    <w:rsid w:val="50172112"/>
    <w:rsid w:val="50BF3F80"/>
    <w:rsid w:val="50D606E2"/>
    <w:rsid w:val="516155D9"/>
    <w:rsid w:val="51D65A91"/>
    <w:rsid w:val="51F7793F"/>
    <w:rsid w:val="538A27BB"/>
    <w:rsid w:val="53E40271"/>
    <w:rsid w:val="53FD3ABD"/>
    <w:rsid w:val="541C5466"/>
    <w:rsid w:val="5455279C"/>
    <w:rsid w:val="5498544D"/>
    <w:rsid w:val="54B716A8"/>
    <w:rsid w:val="54BD7E54"/>
    <w:rsid w:val="54E0475B"/>
    <w:rsid w:val="554E62C0"/>
    <w:rsid w:val="555D589F"/>
    <w:rsid w:val="55783641"/>
    <w:rsid w:val="55B2147B"/>
    <w:rsid w:val="55EB7211"/>
    <w:rsid w:val="56791939"/>
    <w:rsid w:val="571B542D"/>
    <w:rsid w:val="573E1C0D"/>
    <w:rsid w:val="576E7689"/>
    <w:rsid w:val="577E5A91"/>
    <w:rsid w:val="57EC5D04"/>
    <w:rsid w:val="58872539"/>
    <w:rsid w:val="58892B8A"/>
    <w:rsid w:val="5A4F7C8D"/>
    <w:rsid w:val="5A5359CF"/>
    <w:rsid w:val="5AA601F5"/>
    <w:rsid w:val="5AFA409D"/>
    <w:rsid w:val="5BB4249E"/>
    <w:rsid w:val="5BC70423"/>
    <w:rsid w:val="5BDE5A32"/>
    <w:rsid w:val="5C3D1857"/>
    <w:rsid w:val="5C82060B"/>
    <w:rsid w:val="5C8A7874"/>
    <w:rsid w:val="5CAF2525"/>
    <w:rsid w:val="5CB5471F"/>
    <w:rsid w:val="5CDA4186"/>
    <w:rsid w:val="5D126255"/>
    <w:rsid w:val="5D1860C7"/>
    <w:rsid w:val="5D213B63"/>
    <w:rsid w:val="5D3F5AEE"/>
    <w:rsid w:val="5DE078E6"/>
    <w:rsid w:val="5DE75D7D"/>
    <w:rsid w:val="5DF9063C"/>
    <w:rsid w:val="5E61047A"/>
    <w:rsid w:val="5F150EF2"/>
    <w:rsid w:val="5F6D308F"/>
    <w:rsid w:val="5FC92290"/>
    <w:rsid w:val="5FE60504"/>
    <w:rsid w:val="603C1320"/>
    <w:rsid w:val="61191A11"/>
    <w:rsid w:val="628F2A9D"/>
    <w:rsid w:val="62DA6A15"/>
    <w:rsid w:val="632223E3"/>
    <w:rsid w:val="63343EC4"/>
    <w:rsid w:val="633A46C6"/>
    <w:rsid w:val="635F7193"/>
    <w:rsid w:val="636B6B43"/>
    <w:rsid w:val="64722EF6"/>
    <w:rsid w:val="64CA2D32"/>
    <w:rsid w:val="64D67929"/>
    <w:rsid w:val="64FE099A"/>
    <w:rsid w:val="65752D20"/>
    <w:rsid w:val="657A17B8"/>
    <w:rsid w:val="658E5B0E"/>
    <w:rsid w:val="65A622E7"/>
    <w:rsid w:val="66061B48"/>
    <w:rsid w:val="660A5ADC"/>
    <w:rsid w:val="660C6239"/>
    <w:rsid w:val="668E26A7"/>
    <w:rsid w:val="66B123AE"/>
    <w:rsid w:val="66BC0157"/>
    <w:rsid w:val="674A4B46"/>
    <w:rsid w:val="67643E82"/>
    <w:rsid w:val="67CF1147"/>
    <w:rsid w:val="6800057A"/>
    <w:rsid w:val="683F7341"/>
    <w:rsid w:val="68A33FC6"/>
    <w:rsid w:val="68A42D9E"/>
    <w:rsid w:val="69A27DD9"/>
    <w:rsid w:val="69BC28BE"/>
    <w:rsid w:val="69F8754C"/>
    <w:rsid w:val="6A2E076D"/>
    <w:rsid w:val="6A794FDE"/>
    <w:rsid w:val="6AEF0528"/>
    <w:rsid w:val="6B9F58C4"/>
    <w:rsid w:val="6CBE13CE"/>
    <w:rsid w:val="6D3072C0"/>
    <w:rsid w:val="6E487369"/>
    <w:rsid w:val="6E7F33F8"/>
    <w:rsid w:val="6F252763"/>
    <w:rsid w:val="6F2B4343"/>
    <w:rsid w:val="6F4D07E7"/>
    <w:rsid w:val="6FBC771B"/>
    <w:rsid w:val="6FCA346E"/>
    <w:rsid w:val="70214F89"/>
    <w:rsid w:val="705A4DB9"/>
    <w:rsid w:val="70B31796"/>
    <w:rsid w:val="70F84783"/>
    <w:rsid w:val="714323EA"/>
    <w:rsid w:val="71645162"/>
    <w:rsid w:val="71837E3C"/>
    <w:rsid w:val="722A09BE"/>
    <w:rsid w:val="72BB25BB"/>
    <w:rsid w:val="7349268D"/>
    <w:rsid w:val="73904617"/>
    <w:rsid w:val="73966EBB"/>
    <w:rsid w:val="742D1588"/>
    <w:rsid w:val="745A720C"/>
    <w:rsid w:val="748D1686"/>
    <w:rsid w:val="75671ED7"/>
    <w:rsid w:val="7567441B"/>
    <w:rsid w:val="75F4167C"/>
    <w:rsid w:val="761F06CA"/>
    <w:rsid w:val="763554A4"/>
    <w:rsid w:val="76871433"/>
    <w:rsid w:val="76E83BEF"/>
    <w:rsid w:val="7836450F"/>
    <w:rsid w:val="784333A1"/>
    <w:rsid w:val="787119EB"/>
    <w:rsid w:val="78986B42"/>
    <w:rsid w:val="78FD6296"/>
    <w:rsid w:val="796927DE"/>
    <w:rsid w:val="79B31B8F"/>
    <w:rsid w:val="79BF34C3"/>
    <w:rsid w:val="79F006E3"/>
    <w:rsid w:val="7A044863"/>
    <w:rsid w:val="7A877B5A"/>
    <w:rsid w:val="7ABA3491"/>
    <w:rsid w:val="7AF36E33"/>
    <w:rsid w:val="7B192F26"/>
    <w:rsid w:val="7B857D92"/>
    <w:rsid w:val="7BB948D7"/>
    <w:rsid w:val="7BBA5457"/>
    <w:rsid w:val="7BBE620D"/>
    <w:rsid w:val="7BD50615"/>
    <w:rsid w:val="7BEB1AB4"/>
    <w:rsid w:val="7D241CF8"/>
    <w:rsid w:val="7D6A7C65"/>
    <w:rsid w:val="7D753796"/>
    <w:rsid w:val="7D8051A6"/>
    <w:rsid w:val="7E175980"/>
    <w:rsid w:val="7E7B4E43"/>
    <w:rsid w:val="7ECF7E29"/>
    <w:rsid w:val="7EE822DB"/>
    <w:rsid w:val="7EEC02C7"/>
    <w:rsid w:val="7F101EAE"/>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qFormat/>
    <w:uiPriority w:val="0"/>
    <w:pPr>
      <w:jc w:val="left"/>
    </w:pPr>
    <w:rPr>
      <w:rFonts w:ascii="Times New Roman" w:hAnsi="Times New Roman" w:eastAsia="宋体" w:cs="Times New Roman"/>
      <w:szCs w:val="24"/>
    </w:rPr>
  </w:style>
  <w:style w:type="paragraph" w:styleId="4">
    <w:name w:val="Body Text"/>
    <w:basedOn w:val="1"/>
    <w:qFormat/>
    <w:uiPriority w:val="1"/>
    <w:rPr>
      <w:szCs w:val="21"/>
    </w:r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hint="eastAsia" w:ascii="楷体_GB2312" w:eastAsia="楷体_GB2312"/>
      <w:b/>
      <w:sz w:val="72"/>
      <w:szCs w:val="20"/>
    </w:rPr>
  </w:style>
  <w:style w:type="paragraph" w:styleId="10">
    <w:name w:val="Normal (Web)"/>
    <w:basedOn w:val="1"/>
    <w:next w:val="1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2"/>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3"/>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6"/>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6153</Words>
  <Characters>6660</Characters>
  <Lines>29</Lines>
  <Paragraphs>8</Paragraphs>
  <TotalTime>91</TotalTime>
  <ScaleCrop>false</ScaleCrop>
  <LinksUpToDate>false</LinksUpToDate>
  <CharactersWithSpaces>7221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2023-08-08T05:46:26Z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5A7582F762F543B980A55E2793244CCE</vt:lpwstr>
  </property>
</Properties>
</file>