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hint="eastAsia" w:ascii="华文仿宋" w:hAnsi="华文仿宋" w:eastAsia="华文仿宋" w:cs="华文仿宋"/>
          <w:sz w:val="60"/>
          <w:szCs w:val="60"/>
        </w:rPr>
      </w:pPr>
    </w:p>
    <w:p>
      <w:pPr>
        <w:pStyle w:val="12"/>
        <w:jc w:val="both"/>
        <w:rPr>
          <w:rFonts w:hint="eastAsia" w:ascii="华文仿宋" w:hAnsi="华文仿宋" w:eastAsia="华文仿宋" w:cs="华文仿宋"/>
          <w:sz w:val="60"/>
          <w:szCs w:val="60"/>
        </w:rPr>
      </w:pPr>
    </w:p>
    <w:p>
      <w:pPr>
        <w:pStyle w:val="12"/>
        <w:jc w:val="center"/>
        <w:rPr>
          <w:rFonts w:hint="eastAsia" w:ascii="华文仿宋" w:hAnsi="华文仿宋" w:eastAsia="华文仿宋" w:cs="华文仿宋"/>
          <w:sz w:val="60"/>
          <w:szCs w:val="60"/>
        </w:rPr>
      </w:pPr>
      <w:r>
        <w:rPr>
          <w:rFonts w:hint="eastAsia" w:ascii="华文仿宋" w:hAnsi="华文仿宋" w:eastAsia="华文仿宋" w:cs="华文仿宋"/>
          <w:sz w:val="60"/>
          <w:szCs w:val="60"/>
        </w:rPr>
        <w:t>上海市儿童医院工会委员会</w:t>
      </w:r>
    </w:p>
    <w:p>
      <w:pPr>
        <w:pStyle w:val="12"/>
        <w:jc w:val="center"/>
        <w:rPr>
          <w:rFonts w:hint="eastAsia" w:ascii="华文仿宋" w:hAnsi="华文仿宋" w:eastAsia="华文仿宋" w:cs="华文仿宋"/>
          <w:sz w:val="60"/>
          <w:szCs w:val="60"/>
        </w:rPr>
      </w:pPr>
    </w:p>
    <w:p>
      <w:pPr>
        <w:pStyle w:val="12"/>
        <w:jc w:val="center"/>
        <w:rPr>
          <w:rFonts w:hint="eastAsia" w:ascii="华文仿宋" w:hAnsi="华文仿宋" w:eastAsia="华文仿宋" w:cs="华文仿宋"/>
          <w:sz w:val="60"/>
          <w:szCs w:val="60"/>
        </w:rPr>
      </w:pPr>
    </w:p>
    <w:p>
      <w:pPr>
        <w:pStyle w:val="12"/>
        <w:jc w:val="center"/>
        <w:rPr>
          <w:rFonts w:hint="default" w:ascii="华文仿宋" w:hAnsi="华文仿宋" w:eastAsia="华文仿宋" w:cs="华文仿宋"/>
          <w:sz w:val="60"/>
          <w:szCs w:val="60"/>
          <w:lang w:val="en-US" w:eastAsia="zh-CN"/>
        </w:rPr>
      </w:pPr>
      <w:r>
        <w:rPr>
          <w:rFonts w:hint="eastAsia" w:ascii="华文仿宋" w:hAnsi="华文仿宋" w:eastAsia="华文仿宋" w:cs="华文仿宋"/>
          <w:sz w:val="60"/>
          <w:szCs w:val="60"/>
          <w:lang w:val="en-US" w:eastAsia="zh-CN"/>
        </w:rPr>
        <w:t>职工</w:t>
      </w:r>
      <w:r>
        <w:rPr>
          <w:rFonts w:hint="eastAsia" w:ascii="华文仿宋" w:hAnsi="华文仿宋" w:eastAsia="华文仿宋" w:cs="华文仿宋"/>
          <w:sz w:val="60"/>
          <w:szCs w:val="60"/>
        </w:rPr>
        <w:t>"看上海"一日游活动项目</w:t>
      </w:r>
      <w:r>
        <w:rPr>
          <w:rFonts w:hint="eastAsia" w:ascii="华文仿宋" w:hAnsi="华文仿宋" w:eastAsia="华文仿宋" w:cs="华文仿宋"/>
          <w:sz w:val="60"/>
          <w:szCs w:val="60"/>
          <w:lang w:eastAsia="zh-CN"/>
        </w:rPr>
        <w:t>（</w:t>
      </w:r>
      <w:r>
        <w:rPr>
          <w:rFonts w:hint="eastAsia" w:ascii="华文仿宋" w:hAnsi="华文仿宋" w:eastAsia="华文仿宋" w:cs="华文仿宋"/>
          <w:sz w:val="60"/>
          <w:szCs w:val="60"/>
          <w:lang w:val="en-US" w:eastAsia="zh-CN"/>
        </w:rPr>
        <w:t>第二次）</w:t>
      </w:r>
    </w:p>
    <w:p>
      <w:pPr>
        <w:pStyle w:val="12"/>
        <w:jc w:val="center"/>
        <w:rPr>
          <w:rFonts w:hint="eastAsia" w:ascii="华文仿宋" w:hAnsi="华文仿宋" w:eastAsia="华文仿宋" w:cs="华文仿宋"/>
          <w:sz w:val="60"/>
          <w:szCs w:val="60"/>
        </w:rPr>
      </w:pPr>
    </w:p>
    <w:p>
      <w:pPr>
        <w:pStyle w:val="12"/>
        <w:jc w:val="center"/>
        <w:rPr>
          <w:rFonts w:hint="eastAsia" w:ascii="华文仿宋" w:hAnsi="华文仿宋" w:eastAsia="华文仿宋" w:cs="华文仿宋"/>
          <w:sz w:val="60"/>
          <w:szCs w:val="60"/>
        </w:rPr>
      </w:pPr>
    </w:p>
    <w:p>
      <w:pPr>
        <w:pStyle w:val="12"/>
        <w:jc w:val="center"/>
        <w:rPr>
          <w:rFonts w:ascii="华文仿宋" w:hAnsi="华文仿宋" w:eastAsia="华文仿宋" w:cs="华文仿宋"/>
          <w:b/>
          <w:sz w:val="36"/>
          <w:szCs w:val="20"/>
        </w:rPr>
      </w:pPr>
      <w:r>
        <w:rPr>
          <w:rFonts w:hint="eastAsia" w:ascii="华文仿宋" w:hAnsi="华文仿宋" w:eastAsia="华文仿宋" w:cs="华文仿宋"/>
          <w:sz w:val="60"/>
          <w:szCs w:val="60"/>
        </w:rPr>
        <w:t>遴选文件</w:t>
      </w:r>
    </w:p>
    <w:p>
      <w:pPr>
        <w:pStyle w:val="2"/>
        <w:rPr>
          <w:rFonts w:ascii="华文仿宋" w:hAnsi="华文仿宋" w:eastAsia="华文仿宋" w:cs="华文仿宋"/>
          <w:b/>
          <w:sz w:val="36"/>
          <w:szCs w:val="20"/>
        </w:rPr>
      </w:pPr>
    </w:p>
    <w:p>
      <w:pPr>
        <w:tabs>
          <w:tab w:val="left" w:pos="3150"/>
        </w:tabs>
        <w:jc w:val="center"/>
        <w:rPr>
          <w:rFonts w:ascii="华文仿宋" w:hAnsi="华文仿宋" w:eastAsia="华文仿宋" w:cs="华文仿宋"/>
          <w:b/>
          <w:sz w:val="36"/>
          <w:szCs w:val="20"/>
        </w:rPr>
      </w:pPr>
    </w:p>
    <w:p>
      <w:pPr>
        <w:tabs>
          <w:tab w:val="left" w:pos="3150"/>
        </w:tabs>
        <w:jc w:val="center"/>
        <w:rPr>
          <w:rFonts w:ascii="华文仿宋" w:hAnsi="华文仿宋" w:eastAsia="华文仿宋" w:cs="华文仿宋"/>
          <w:b/>
          <w:sz w:val="36"/>
          <w:szCs w:val="20"/>
        </w:rPr>
      </w:pPr>
      <w:r>
        <w:rPr>
          <w:rFonts w:hint="eastAsia" w:ascii="华文仿宋" w:hAnsi="华文仿宋" w:eastAsia="华文仿宋" w:cs="华文仿宋"/>
          <w:b/>
          <w:sz w:val="36"/>
          <w:szCs w:val="20"/>
        </w:rPr>
        <w:t>遴选编号：202</w:t>
      </w:r>
      <w:r>
        <w:rPr>
          <w:rFonts w:hint="eastAsia" w:ascii="华文仿宋" w:hAnsi="华文仿宋" w:eastAsia="华文仿宋" w:cs="华文仿宋"/>
          <w:b/>
          <w:sz w:val="36"/>
          <w:szCs w:val="20"/>
          <w:lang w:val="en-US" w:eastAsia="zh-CN"/>
        </w:rPr>
        <w:t>3</w:t>
      </w:r>
      <w:r>
        <w:rPr>
          <w:rFonts w:hint="eastAsia" w:ascii="华文仿宋" w:hAnsi="华文仿宋" w:eastAsia="华文仿宋" w:cs="华文仿宋"/>
          <w:b/>
          <w:sz w:val="36"/>
          <w:szCs w:val="20"/>
        </w:rPr>
        <w:t>-ETLX</w:t>
      </w:r>
      <w:r>
        <w:rPr>
          <w:rFonts w:hint="eastAsia" w:ascii="华文仿宋" w:hAnsi="华文仿宋" w:eastAsia="华文仿宋" w:cs="华文仿宋"/>
          <w:b/>
          <w:sz w:val="36"/>
          <w:szCs w:val="20"/>
          <w:lang w:val="en-US" w:eastAsia="zh-CN"/>
        </w:rPr>
        <w:t>GH</w:t>
      </w:r>
      <w:r>
        <w:rPr>
          <w:rFonts w:hint="eastAsia" w:ascii="华文仿宋" w:hAnsi="华文仿宋" w:eastAsia="华文仿宋" w:cs="华文仿宋"/>
          <w:b/>
          <w:sz w:val="36"/>
          <w:szCs w:val="20"/>
        </w:rPr>
        <w:t>-0</w:t>
      </w:r>
      <w:r>
        <w:rPr>
          <w:rFonts w:hint="eastAsia" w:ascii="华文仿宋" w:hAnsi="华文仿宋" w:eastAsia="华文仿宋" w:cs="华文仿宋"/>
          <w:b/>
          <w:sz w:val="36"/>
          <w:szCs w:val="20"/>
          <w:lang w:val="en-US" w:eastAsia="zh-CN"/>
        </w:rPr>
        <w:t>0</w:t>
      </w:r>
      <w:r>
        <w:rPr>
          <w:rFonts w:hint="eastAsia" w:ascii="华文仿宋" w:hAnsi="华文仿宋" w:eastAsia="华文仿宋" w:cs="华文仿宋"/>
          <w:b/>
          <w:sz w:val="36"/>
          <w:szCs w:val="20"/>
        </w:rPr>
        <w:t>1</w:t>
      </w:r>
    </w:p>
    <w:p>
      <w:pPr>
        <w:pStyle w:val="12"/>
        <w:rPr>
          <w:rFonts w:ascii="华文仿宋" w:hAnsi="华文仿宋" w:eastAsia="华文仿宋" w:cs="华文仿宋"/>
          <w:sz w:val="36"/>
        </w:rPr>
      </w:pPr>
    </w:p>
    <w:p>
      <w:pPr>
        <w:pStyle w:val="12"/>
        <w:rPr>
          <w:rFonts w:ascii="华文仿宋" w:hAnsi="华文仿宋" w:eastAsia="华文仿宋" w:cs="华文仿宋"/>
          <w:sz w:val="36"/>
        </w:rPr>
      </w:pPr>
      <w:r>
        <w:rPr>
          <w:rFonts w:hint="eastAsia" w:ascii="华文仿宋" w:hAnsi="华文仿宋" w:eastAsia="华文仿宋" w:cs="华文仿宋"/>
          <w:sz w:val="36"/>
        </w:rPr>
        <w:t>2023年</w:t>
      </w:r>
      <w:r>
        <w:rPr>
          <w:rFonts w:hint="eastAsia" w:ascii="华文仿宋" w:hAnsi="华文仿宋" w:eastAsia="华文仿宋" w:cs="华文仿宋"/>
          <w:sz w:val="36"/>
          <w:lang w:val="en-US" w:eastAsia="zh-CN"/>
        </w:rPr>
        <w:t>3</w:t>
      </w:r>
      <w:r>
        <w:rPr>
          <w:rFonts w:hint="eastAsia" w:ascii="华文仿宋" w:hAnsi="华文仿宋" w:eastAsia="华文仿宋" w:cs="华文仿宋"/>
          <w:sz w:val="36"/>
        </w:rPr>
        <w:t>月</w:t>
      </w:r>
      <w:r>
        <w:rPr>
          <w:rFonts w:hint="eastAsia" w:ascii="华文仿宋" w:hAnsi="华文仿宋" w:eastAsia="华文仿宋" w:cs="华文仿宋"/>
          <w:sz w:val="36"/>
          <w:lang w:val="en-US" w:eastAsia="zh-CN"/>
        </w:rPr>
        <w:t>3</w:t>
      </w:r>
      <w:r>
        <w:rPr>
          <w:rFonts w:hint="eastAsia" w:ascii="华文仿宋" w:hAnsi="华文仿宋" w:eastAsia="华文仿宋" w:cs="华文仿宋"/>
          <w:sz w:val="36"/>
        </w:rPr>
        <w:t>日</w:t>
      </w:r>
    </w:p>
    <w:p>
      <w:pPr>
        <w:pStyle w:val="12"/>
        <w:rPr>
          <w:rFonts w:ascii="华文仿宋" w:hAnsi="华文仿宋" w:eastAsia="华文仿宋" w:cs="华文仿宋"/>
          <w:sz w:val="36"/>
        </w:rPr>
      </w:pPr>
    </w:p>
    <w:p>
      <w:pPr>
        <w:pStyle w:val="12"/>
        <w:jc w:val="both"/>
        <w:rPr>
          <w:rFonts w:ascii="宋体" w:hAnsi="宋体" w:eastAsia="宋体" w:cs="宋体"/>
          <w:sz w:val="36"/>
        </w:rPr>
      </w:pPr>
    </w:p>
    <w:p>
      <w:pPr>
        <w:pStyle w:val="22"/>
        <w:jc w:val="center"/>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pPr>
        <w:tabs>
          <w:tab w:val="left" w:pos="3150"/>
        </w:tabs>
        <w:rPr>
          <w:rFonts w:hint="default" w:ascii="宋体" w:hAnsi="宋体" w:eastAsia="宋体" w:cs="宋体"/>
          <w:sz w:val="24"/>
          <w:lang w:val="en-US" w:eastAsia="zh-CN"/>
        </w:rPr>
      </w:pPr>
      <w:r>
        <w:rPr>
          <w:rFonts w:hint="eastAsia" w:ascii="宋体" w:hAnsi="宋体" w:cs="宋体"/>
          <w:sz w:val="24"/>
        </w:rPr>
        <w:t>遴选编号：2023-ETLXGH-001</w:t>
      </w:r>
      <w:r>
        <w:rPr>
          <w:rFonts w:hint="eastAsia" w:ascii="宋体" w:hAnsi="宋体" w:cs="宋体"/>
          <w:sz w:val="24"/>
          <w:lang w:eastAsia="zh-CN"/>
        </w:rPr>
        <w:t>（</w:t>
      </w:r>
      <w:r>
        <w:rPr>
          <w:rFonts w:hint="eastAsia" w:ascii="宋体" w:hAnsi="宋体" w:cs="宋体"/>
          <w:sz w:val="24"/>
          <w:lang w:val="en-US" w:eastAsia="zh-CN"/>
        </w:rPr>
        <w:t>第二次）</w:t>
      </w:r>
    </w:p>
    <w:p>
      <w:pPr>
        <w:pStyle w:val="23"/>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i w:val="0"/>
          <w:iCs w:val="0"/>
          <w:caps w:val="0"/>
          <w:color w:val="auto"/>
          <w:spacing w:val="0"/>
          <w:sz w:val="24"/>
          <w:szCs w:val="24"/>
          <w:shd w:val="clear" w:fill="FFFFFF"/>
        </w:rPr>
        <w:t>上海市儿童医院工会委员会职工"看上海"一日游活动项目</w:t>
      </w:r>
      <w:r>
        <w:rPr>
          <w:rFonts w:hint="eastAsia" w:ascii="宋体" w:hAnsi="宋体" w:eastAsia="宋体" w:cs="宋体"/>
          <w:sz w:val="24"/>
          <w:szCs w:val="24"/>
        </w:rPr>
        <w:t>现以院内遴选采购的方式就下列所提供的货物和相关服务进行采购。</w:t>
      </w:r>
    </w:p>
    <w:p>
      <w:pPr>
        <w:pStyle w:val="23"/>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15"/>
        <w:tblW w:w="8179" w:type="dxa"/>
        <w:tblInd w:w="777" w:type="dxa"/>
        <w:tblLayout w:type="autofit"/>
        <w:tblCellMar>
          <w:top w:w="0" w:type="dxa"/>
          <w:left w:w="108" w:type="dxa"/>
          <w:bottom w:w="0" w:type="dxa"/>
          <w:right w:w="108" w:type="dxa"/>
        </w:tblCellMar>
      </w:tblPr>
      <w:tblGrid>
        <w:gridCol w:w="1409"/>
        <w:gridCol w:w="6770"/>
      </w:tblGrid>
      <w:tr>
        <w:tblPrEx>
          <w:tblCellMar>
            <w:top w:w="0" w:type="dxa"/>
            <w:left w:w="108" w:type="dxa"/>
            <w:bottom w:w="0" w:type="dxa"/>
            <w:right w:w="108" w:type="dxa"/>
          </w:tblCellMar>
        </w:tblPrEx>
        <w:trPr>
          <w:trHeight w:val="497" w:hRule="exact"/>
        </w:trPr>
        <w:tc>
          <w:tcPr>
            <w:tcW w:w="14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序号</w:t>
            </w:r>
          </w:p>
        </w:tc>
        <w:tc>
          <w:tcPr>
            <w:tcW w:w="677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项目名称</w:t>
            </w:r>
          </w:p>
        </w:tc>
      </w:tr>
      <w:tr>
        <w:tblPrEx>
          <w:tblCellMar>
            <w:top w:w="0" w:type="dxa"/>
            <w:left w:w="108" w:type="dxa"/>
            <w:bottom w:w="0" w:type="dxa"/>
            <w:right w:w="108" w:type="dxa"/>
          </w:tblCellMar>
        </w:tblPrEx>
        <w:trPr>
          <w:trHeight w:val="842" w:hRule="exact"/>
        </w:trPr>
        <w:tc>
          <w:tcPr>
            <w:tcW w:w="14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1</w:t>
            </w:r>
          </w:p>
        </w:tc>
        <w:tc>
          <w:tcPr>
            <w:tcW w:w="677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eastAsia="宋体" w:cs="宋体"/>
                <w:i w:val="0"/>
                <w:iCs w:val="0"/>
                <w:caps w:val="0"/>
                <w:color w:val="auto"/>
                <w:spacing w:val="0"/>
                <w:sz w:val="24"/>
                <w:szCs w:val="24"/>
                <w:shd w:val="clear" w:fill="FFFFFF"/>
              </w:rPr>
              <w:t>上海市儿童医院工会委员会职工"看上海"一日游活动</w:t>
            </w:r>
          </w:p>
        </w:tc>
      </w:tr>
    </w:tbl>
    <w:p>
      <w:pPr>
        <w:pStyle w:val="23"/>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投标人资质要求：</w:t>
      </w:r>
    </w:p>
    <w:p>
      <w:pPr>
        <w:pStyle w:val="23"/>
        <w:numPr>
          <w:ilvl w:val="0"/>
          <w:numId w:val="3"/>
        </w:numPr>
        <w:autoSpaceDE w:val="0"/>
        <w:autoSpaceDN w:val="0"/>
        <w:spacing w:line="360" w:lineRule="exact"/>
        <w:jc w:val="left"/>
        <w:rPr>
          <w:rFonts w:ascii="宋体" w:hAnsi="宋体" w:eastAsia="宋体" w:cs="宋体"/>
          <w:bCs/>
          <w:sz w:val="24"/>
          <w:szCs w:val="24"/>
        </w:rPr>
      </w:pPr>
      <w:r>
        <w:rPr>
          <w:rFonts w:hint="eastAsia" w:ascii="宋体" w:hAnsi="宋体" w:eastAsia="宋体" w:cs="宋体"/>
          <w:bCs/>
          <w:sz w:val="24"/>
          <w:szCs w:val="24"/>
        </w:rPr>
        <w:t>投标人为具有合法经营资质的独立法人、其他组织。</w:t>
      </w:r>
    </w:p>
    <w:p>
      <w:pPr>
        <w:pStyle w:val="23"/>
        <w:numPr>
          <w:ilvl w:val="0"/>
          <w:numId w:val="3"/>
        </w:numPr>
        <w:autoSpaceDE w:val="0"/>
        <w:autoSpaceDN w:val="0"/>
        <w:spacing w:line="360" w:lineRule="exact"/>
        <w:jc w:val="left"/>
        <w:rPr>
          <w:rFonts w:ascii="宋体" w:hAnsi="宋体" w:eastAsia="宋体" w:cs="宋体"/>
          <w:bCs/>
          <w:sz w:val="24"/>
          <w:szCs w:val="24"/>
        </w:rPr>
      </w:pPr>
      <w:r>
        <w:rPr>
          <w:rFonts w:hint="eastAsia" w:ascii="宋体" w:hAnsi="宋体" w:eastAsia="宋体" w:cs="宋体"/>
          <w:bCs/>
          <w:sz w:val="24"/>
          <w:szCs w:val="24"/>
        </w:rPr>
        <w:t>投标人在参加采购活动前三年内，在经营活动中没有重大违法记录，并提交《无重大违法记录承诺书》</w:t>
      </w:r>
      <w:r>
        <w:rPr>
          <w:rFonts w:hint="eastAsia" w:ascii="宋体" w:hAnsi="宋体" w:eastAsia="宋体" w:cs="宋体"/>
          <w:sz w:val="24"/>
          <w:szCs w:val="24"/>
        </w:rPr>
        <w:t>（详见遴选文件中附件6）</w:t>
      </w:r>
      <w:r>
        <w:rPr>
          <w:rFonts w:hint="eastAsia" w:ascii="宋体" w:hAnsi="宋体" w:eastAsia="宋体" w:cs="宋体"/>
          <w:bCs/>
          <w:sz w:val="24"/>
          <w:szCs w:val="24"/>
        </w:rPr>
        <w:t>。</w:t>
      </w:r>
    </w:p>
    <w:p>
      <w:pPr>
        <w:pStyle w:val="23"/>
        <w:numPr>
          <w:ilvl w:val="0"/>
          <w:numId w:val="3"/>
        </w:numPr>
        <w:autoSpaceDE w:val="0"/>
        <w:autoSpaceDN w:val="0"/>
        <w:spacing w:line="360" w:lineRule="exact"/>
        <w:jc w:val="left"/>
        <w:rPr>
          <w:rFonts w:ascii="宋体" w:hAnsi="宋体" w:eastAsia="宋体" w:cs="宋体"/>
          <w:sz w:val="24"/>
          <w:szCs w:val="24"/>
        </w:rPr>
      </w:pPr>
      <w:r>
        <w:rPr>
          <w:rFonts w:hint="eastAsia" w:ascii="宋体" w:hAnsi="宋体" w:eastAsia="宋体" w:cs="宋体"/>
          <w:bCs/>
          <w:sz w:val="24"/>
          <w:szCs w:val="24"/>
        </w:rPr>
        <w:t>投标人未被“信用中国”网站(www.creditchina.gov.cn)列入失信被执行人名单、重大税收违法案件当事人名单。</w:t>
      </w:r>
    </w:p>
    <w:p>
      <w:pPr>
        <w:pStyle w:val="23"/>
        <w:numPr>
          <w:ilvl w:val="0"/>
          <w:numId w:val="3"/>
        </w:numPr>
        <w:autoSpaceDE w:val="0"/>
        <w:autoSpaceDN w:val="0"/>
        <w:spacing w:line="360" w:lineRule="exact"/>
        <w:jc w:val="left"/>
        <w:rPr>
          <w:rFonts w:ascii="宋体" w:hAnsi="宋体" w:eastAsia="宋体" w:cs="宋体"/>
          <w:bCs/>
          <w:sz w:val="24"/>
          <w:szCs w:val="24"/>
        </w:rPr>
      </w:pPr>
      <w:r>
        <w:rPr>
          <w:rFonts w:hint="eastAsia" w:ascii="宋体" w:hAnsi="宋体" w:eastAsia="宋体" w:cs="宋体"/>
          <w:bCs/>
          <w:sz w:val="24"/>
          <w:szCs w:val="24"/>
        </w:rPr>
        <w:t>投标人具有国家旅游局颁发的有效《旅行社业务经营许可证》，许可经营业务具有国内旅游业务。</w:t>
      </w:r>
    </w:p>
    <w:p>
      <w:pPr>
        <w:pStyle w:val="23"/>
        <w:numPr>
          <w:ilvl w:val="0"/>
          <w:numId w:val="2"/>
        </w:numPr>
        <w:autoSpaceDE w:val="0"/>
        <w:autoSpaceDN w:val="0"/>
        <w:spacing w:line="360" w:lineRule="exact"/>
        <w:jc w:val="left"/>
        <w:rPr>
          <w:rFonts w:ascii="宋体" w:hAnsi="宋体" w:eastAsia="宋体" w:cs="宋体"/>
          <w:b/>
          <w:sz w:val="24"/>
          <w:szCs w:val="24"/>
        </w:rPr>
      </w:pPr>
      <w:bookmarkStart w:id="0" w:name="_Toc461613082"/>
      <w:bookmarkStart w:id="1" w:name="_Toc461613010"/>
      <w:r>
        <w:rPr>
          <w:rFonts w:hint="eastAsia" w:ascii="宋体" w:hAnsi="宋体" w:eastAsia="宋体" w:cs="宋体"/>
          <w:b/>
          <w:sz w:val="24"/>
          <w:szCs w:val="24"/>
        </w:rPr>
        <w:t>遴选响应文件要求</w:t>
      </w:r>
    </w:p>
    <w:p>
      <w:pPr>
        <w:pStyle w:val="23"/>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有兴趣的潜在投标人请于</w:t>
      </w:r>
      <w:r>
        <w:rPr>
          <w:rFonts w:hint="eastAsia" w:ascii="宋体" w:hAnsi="宋体" w:eastAsia="宋体" w:cs="宋体"/>
          <w:b/>
          <w:sz w:val="24"/>
          <w:szCs w:val="24"/>
        </w:rPr>
        <w:t>2023年</w:t>
      </w:r>
      <w:r>
        <w:rPr>
          <w:rFonts w:hint="eastAsia" w:ascii="宋体" w:hAnsi="宋体" w:eastAsia="宋体" w:cs="宋体"/>
          <w:b/>
          <w:sz w:val="24"/>
          <w:szCs w:val="24"/>
          <w:lang w:val="en-US" w:eastAsia="zh-CN"/>
        </w:rPr>
        <w:t>3</w:t>
      </w:r>
      <w:r>
        <w:rPr>
          <w:rFonts w:hint="eastAsia" w:ascii="宋体" w:hAnsi="宋体" w:eastAsia="宋体" w:cs="宋体"/>
          <w:b/>
          <w:sz w:val="24"/>
          <w:szCs w:val="24"/>
        </w:rPr>
        <w:t>月</w:t>
      </w:r>
      <w:r>
        <w:rPr>
          <w:rFonts w:hint="eastAsia" w:ascii="宋体" w:hAnsi="宋体" w:eastAsia="宋体" w:cs="宋体"/>
          <w:b/>
          <w:sz w:val="24"/>
          <w:szCs w:val="24"/>
          <w:lang w:val="en-US" w:eastAsia="zh-CN"/>
        </w:rPr>
        <w:t>3</w:t>
      </w:r>
      <w:r>
        <w:rPr>
          <w:rFonts w:hint="eastAsia" w:ascii="宋体" w:hAnsi="宋体" w:eastAsia="宋体" w:cs="宋体"/>
          <w:b/>
          <w:sz w:val="24"/>
          <w:szCs w:val="24"/>
        </w:rPr>
        <w:t>日起至2023年</w:t>
      </w:r>
      <w:r>
        <w:rPr>
          <w:rFonts w:hint="eastAsia" w:ascii="宋体" w:hAnsi="宋体" w:eastAsia="宋体" w:cs="宋体"/>
          <w:b/>
          <w:sz w:val="24"/>
          <w:szCs w:val="24"/>
          <w:lang w:val="en-US" w:eastAsia="zh-CN"/>
        </w:rPr>
        <w:t>3</w:t>
      </w:r>
      <w:r>
        <w:rPr>
          <w:rFonts w:hint="eastAsia" w:ascii="宋体" w:hAnsi="宋体" w:eastAsia="宋体" w:cs="宋体"/>
          <w:b/>
          <w:sz w:val="24"/>
          <w:szCs w:val="24"/>
        </w:rPr>
        <w:t>月</w:t>
      </w:r>
      <w:r>
        <w:rPr>
          <w:rFonts w:hint="eastAsia" w:ascii="宋体" w:hAnsi="宋体" w:eastAsia="宋体" w:cs="宋体"/>
          <w:b/>
          <w:sz w:val="24"/>
          <w:szCs w:val="24"/>
          <w:lang w:val="en-US" w:eastAsia="zh-CN"/>
        </w:rPr>
        <w:t>17</w:t>
      </w:r>
      <w:r>
        <w:rPr>
          <w:rFonts w:hint="eastAsia" w:ascii="宋体" w:hAnsi="宋体" w:eastAsia="宋体" w:cs="宋体"/>
          <w:b/>
          <w:sz w:val="24"/>
          <w:szCs w:val="24"/>
        </w:rPr>
        <w:t>日</w:t>
      </w:r>
      <w:r>
        <w:rPr>
          <w:rFonts w:hint="eastAsia" w:ascii="宋体" w:hAnsi="宋体" w:eastAsia="宋体" w:cs="宋体"/>
          <w:sz w:val="24"/>
          <w:szCs w:val="24"/>
        </w:rPr>
        <w:t>止上海市儿童医院官网中“医疗动态”栏的“招标公示”界面下(http://www.shchildren.com.cn/channels/95.html)自行下载遴选文件并于截止时间前完成“供应商平台”接待登记，接待部门请选择</w:t>
      </w:r>
      <w:r>
        <w:rPr>
          <w:rFonts w:hint="eastAsia" w:ascii="宋体" w:hAnsi="宋体" w:eastAsia="宋体" w:cs="宋体"/>
          <w:sz w:val="24"/>
          <w:szCs w:val="24"/>
          <w:u w:val="single"/>
        </w:rPr>
        <w:t>“采购中心”</w:t>
      </w:r>
      <w:r>
        <w:rPr>
          <w:rFonts w:hint="eastAsia" w:ascii="宋体" w:hAnsi="宋体" w:eastAsia="宋体" w:cs="宋体"/>
          <w:sz w:val="24"/>
          <w:szCs w:val="24"/>
        </w:rPr>
        <w:t>。（http://101.231.51.115:7070/defaultroot/modules/hospital/supplier/platform/login.jsp）若供应商平台注册中遇到问题，请致电刘昕工程师：13997840824。</w:t>
      </w:r>
    </w:p>
    <w:p>
      <w:pPr>
        <w:pStyle w:val="23"/>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26670</wp:posOffset>
            </wp:positionV>
            <wp:extent cx="4366260" cy="1298575"/>
            <wp:effectExtent l="0" t="0" r="15240" b="15875"/>
            <wp:wrapNone/>
            <wp:docPr id="2" name="图片 2" descr="微信图片_2020112510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1125104844"/>
                    <pic:cNvPicPr>
                      <a:picLocks noChangeAspect="1"/>
                    </pic:cNvPicPr>
                  </pic:nvPicPr>
                  <pic:blipFill>
                    <a:blip r:embed="rId7" cstate="print"/>
                    <a:stretch>
                      <a:fillRect/>
                    </a:stretch>
                  </pic:blipFill>
                  <pic:spPr>
                    <a:xfrm>
                      <a:off x="0" y="0"/>
                      <a:ext cx="4366260" cy="1298575"/>
                    </a:xfrm>
                    <a:prstGeom prst="rect">
                      <a:avLst/>
                    </a:prstGeom>
                    <a:noFill/>
                    <a:ln>
                      <a:noFill/>
                    </a:ln>
                  </pic:spPr>
                </pic:pic>
              </a:graphicData>
            </a:graphic>
          </wp:anchor>
        </w:drawing>
      </w:r>
    </w:p>
    <w:p>
      <w:pPr>
        <w:pStyle w:val="23"/>
        <w:autoSpaceDE w:val="0"/>
        <w:autoSpaceDN w:val="0"/>
        <w:spacing w:line="360" w:lineRule="exact"/>
        <w:ind w:firstLine="0"/>
        <w:jc w:val="left"/>
        <w:rPr>
          <w:rFonts w:ascii="宋体" w:hAnsi="宋体" w:eastAsia="宋体" w:cs="宋体"/>
          <w:sz w:val="24"/>
          <w:szCs w:val="24"/>
        </w:rPr>
      </w:pPr>
    </w:p>
    <w:p>
      <w:pPr>
        <w:pStyle w:val="23"/>
        <w:autoSpaceDE w:val="0"/>
        <w:autoSpaceDN w:val="0"/>
        <w:spacing w:line="360" w:lineRule="exact"/>
        <w:ind w:firstLine="0"/>
        <w:jc w:val="left"/>
        <w:rPr>
          <w:rFonts w:ascii="宋体" w:hAnsi="宋体" w:eastAsia="宋体" w:cs="宋体"/>
          <w:sz w:val="24"/>
          <w:szCs w:val="24"/>
        </w:rPr>
      </w:pPr>
    </w:p>
    <w:p>
      <w:pPr>
        <w:pStyle w:val="23"/>
        <w:autoSpaceDE w:val="0"/>
        <w:autoSpaceDN w:val="0"/>
        <w:spacing w:line="360" w:lineRule="exact"/>
        <w:ind w:firstLine="0"/>
        <w:jc w:val="left"/>
        <w:rPr>
          <w:rFonts w:ascii="宋体" w:hAnsi="宋体" w:eastAsia="宋体" w:cs="宋体"/>
          <w:sz w:val="24"/>
          <w:szCs w:val="24"/>
        </w:rPr>
      </w:pPr>
    </w:p>
    <w:p>
      <w:pPr>
        <w:pStyle w:val="23"/>
        <w:autoSpaceDE w:val="0"/>
        <w:autoSpaceDN w:val="0"/>
        <w:spacing w:line="360" w:lineRule="exact"/>
        <w:ind w:firstLine="0"/>
        <w:jc w:val="left"/>
        <w:rPr>
          <w:rFonts w:ascii="宋体" w:hAnsi="宋体" w:eastAsia="宋体" w:cs="宋体"/>
          <w:sz w:val="24"/>
          <w:szCs w:val="24"/>
        </w:rPr>
      </w:pPr>
    </w:p>
    <w:p>
      <w:pPr>
        <w:pStyle w:val="23"/>
        <w:autoSpaceDE w:val="0"/>
        <w:autoSpaceDN w:val="0"/>
        <w:spacing w:line="360" w:lineRule="exact"/>
        <w:ind w:firstLine="0"/>
        <w:jc w:val="left"/>
        <w:rPr>
          <w:rFonts w:ascii="宋体" w:hAnsi="宋体" w:eastAsia="宋体" w:cs="宋体"/>
          <w:sz w:val="24"/>
          <w:szCs w:val="24"/>
        </w:rPr>
      </w:pPr>
    </w:p>
    <w:p>
      <w:pPr>
        <w:pStyle w:val="23"/>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遴选响应文件应包括但不限于遴选采购报价表、公司（企业）营业执照、法人代表授权书、类似项目案例无重大违法记录承诺书、无行贿犯罪记录声明函的复印件加盖公司公章。</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遴选采购报价表：成交价格</w:t>
      </w:r>
      <w:r>
        <w:rPr>
          <w:rFonts w:hint="eastAsia" w:ascii="宋体" w:hAnsi="宋体" w:eastAsia="宋体" w:cs="宋体"/>
          <w:b/>
          <w:sz w:val="24"/>
          <w:szCs w:val="24"/>
        </w:rPr>
        <w:t>（人民币报价）</w:t>
      </w:r>
      <w:r>
        <w:rPr>
          <w:rFonts w:hint="eastAsia" w:ascii="宋体" w:hAnsi="宋体" w:eastAsia="宋体" w:cs="宋体"/>
          <w:sz w:val="24"/>
          <w:szCs w:val="24"/>
        </w:rPr>
        <w:t>及交货时间（详见遴选文件中附件1）；</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b/>
          <w:bCs/>
          <w:sz w:val="24"/>
          <w:szCs w:val="24"/>
        </w:rPr>
        <w:t>资格证明文件</w:t>
      </w:r>
      <w:r>
        <w:rPr>
          <w:rFonts w:hint="eastAsia" w:ascii="宋体" w:hAnsi="宋体" w:eastAsia="宋体" w:cs="宋体"/>
          <w:sz w:val="24"/>
          <w:szCs w:val="24"/>
        </w:rPr>
        <w:t>包括：供应商的资格文件（三证合一的企业法人营业执照、法人代表授权书）等相关证明的复印件（附件2法人授权格式）；</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技术参数响应情况</w:t>
      </w:r>
      <w:r>
        <w:rPr>
          <w:rFonts w:hint="eastAsia" w:ascii="宋体" w:hAnsi="宋体" w:eastAsia="宋体" w:cs="宋体"/>
          <w:sz w:val="24"/>
          <w:szCs w:val="24"/>
          <w:lang w:eastAsia="zh-CN"/>
        </w:rPr>
        <w:t>：</w:t>
      </w:r>
      <w:r>
        <w:rPr>
          <w:rFonts w:hint="eastAsia" w:ascii="宋体" w:hAnsi="宋体" w:eastAsia="宋体" w:cs="宋体"/>
          <w:sz w:val="24"/>
          <w:szCs w:val="24"/>
        </w:rPr>
        <w:t>填写技术参数偏离表（详见遴选文件中附件3）；</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用户名单：自20</w:t>
      </w:r>
      <w:r>
        <w:rPr>
          <w:rFonts w:hint="eastAsia" w:ascii="宋体" w:hAnsi="宋体" w:eastAsia="宋体" w:cs="宋体"/>
          <w:sz w:val="24"/>
          <w:szCs w:val="24"/>
          <w:lang w:val="en-US" w:eastAsia="zh-CN"/>
        </w:rPr>
        <w:t>20</w:t>
      </w:r>
      <w:r>
        <w:rPr>
          <w:rFonts w:hint="eastAsia" w:ascii="宋体" w:hAnsi="宋体" w:eastAsia="宋体" w:cs="宋体"/>
          <w:sz w:val="24"/>
          <w:szCs w:val="24"/>
        </w:rPr>
        <w:t>年1月1日以来投标人承接的同类项目案例的用户名单，并提供联系人及联系方式（附合同摘要）（详见遴选文件中附件4）；</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供应商需提供在“信用中国”网站（www.creditchina.gov.cn）上的查询结果截图（详见遴选文件中附件5）；</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无重大违法记录承诺书（详见遴选文件中附件6）；</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无行贿犯罪记录声明函（详见遴选文件中附件7）；</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服务方案：包括总体解决方案、实施计划、项目管理计划、质量保证计划、项目风险控制措施、服务能力介绍、售后服务方案等。</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投标人认为有必要说明的其他文件。</w:t>
      </w:r>
    </w:p>
    <w:p>
      <w:pPr>
        <w:pStyle w:val="23"/>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遴选响应文件的份数：纸质正本1份，电子版1份（所有资料必须以档案袋密封,密封处加盖公司骑缝公章,且非格式报价单、开口报价单均无效,不符合以上要求的资料一律作为无效资料处理,不具备遴选资格。电子版文件请按照“遴选编号-包件号-项目名称-公司名称投标文件”命名，</w:t>
      </w:r>
      <w:r>
        <w:rPr>
          <w:rFonts w:hint="eastAsia" w:ascii="宋体" w:hAnsi="宋体" w:eastAsia="宋体" w:cs="宋体"/>
          <w:sz w:val="24"/>
          <w:szCs w:val="24"/>
          <w:u w:val="single"/>
        </w:rPr>
        <w:t>开标后</w:t>
      </w:r>
      <w:r>
        <w:rPr>
          <w:rFonts w:hint="eastAsia" w:ascii="宋体" w:hAnsi="宋体" w:eastAsia="宋体" w:cs="宋体"/>
          <w:sz w:val="24"/>
          <w:szCs w:val="24"/>
        </w:rPr>
        <w:t>发送至邮箱</w:t>
      </w:r>
      <w:r>
        <w:fldChar w:fldCharType="begin"/>
      </w:r>
      <w:r>
        <w:instrText xml:space="preserve"> HYPERLINK "mailto:liyi@shchildren.com.cn" </w:instrText>
      </w:r>
      <w:r>
        <w:fldChar w:fldCharType="separate"/>
      </w:r>
      <w:r>
        <w:rPr>
          <w:rStyle w:val="19"/>
          <w:rFonts w:ascii="宋体"/>
          <w:szCs w:val="21"/>
        </w:rPr>
        <w:t>liyi@shchildren.com.cn</w:t>
      </w:r>
      <w:r>
        <w:rPr>
          <w:rStyle w:val="19"/>
          <w:rFonts w:ascii="宋体"/>
          <w:szCs w:val="21"/>
        </w:rPr>
        <w:fldChar w:fldCharType="end"/>
      </w:r>
      <w:r>
        <w:rPr>
          <w:rFonts w:hint="eastAsia" w:ascii="宋体" w:hAnsi="宋体" w:eastAsia="宋体" w:cs="宋体"/>
          <w:sz w:val="24"/>
          <w:szCs w:val="24"/>
        </w:rPr>
        <w:t>）。</w:t>
      </w:r>
    </w:p>
    <w:p>
      <w:pPr>
        <w:pStyle w:val="23"/>
        <w:autoSpaceDE w:val="0"/>
        <w:autoSpaceDN w:val="0"/>
        <w:spacing w:line="360" w:lineRule="exact"/>
        <w:ind w:left="424" w:leftChars="202" w:firstLine="0"/>
        <w:jc w:val="left"/>
        <w:rPr>
          <w:rFonts w:ascii="宋体" w:hAnsi="宋体" w:eastAsia="宋体" w:cs="宋体"/>
          <w:sz w:val="24"/>
          <w:szCs w:val="24"/>
        </w:rPr>
      </w:pPr>
      <w:r>
        <w:rPr>
          <w:rFonts w:hint="eastAsia" w:ascii="宋体" w:hAnsi="宋体" w:eastAsia="宋体" w:cs="宋体"/>
          <w:sz w:val="24"/>
          <w:szCs w:val="24"/>
        </w:rPr>
        <w:t>上海市儿童医院-采购中心</w:t>
      </w:r>
    </w:p>
    <w:p>
      <w:pPr>
        <w:pStyle w:val="23"/>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pPr>
        <w:pStyle w:val="23"/>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pPr>
        <w:pStyle w:val="23"/>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pPr>
        <w:autoSpaceDE w:val="0"/>
        <w:autoSpaceDN w:val="0"/>
        <w:spacing w:line="360" w:lineRule="exact"/>
        <w:ind w:left="1470" w:hanging="1050"/>
        <w:rPr>
          <w:rFonts w:ascii="宋体" w:hAnsi="宋体" w:cs="宋体"/>
          <w:sz w:val="24"/>
        </w:rPr>
      </w:pPr>
      <w:r>
        <w:rPr>
          <w:rFonts w:hint="eastAsia" w:ascii="宋体" w:hAnsi="宋体" w:cs="宋体"/>
          <w:sz w:val="24"/>
        </w:rPr>
        <w:t>联系人：李怡</w:t>
      </w:r>
    </w:p>
    <w:p>
      <w:pPr>
        <w:autoSpaceDE w:val="0"/>
        <w:autoSpaceDN w:val="0"/>
        <w:spacing w:line="360" w:lineRule="exact"/>
        <w:ind w:left="1470" w:hanging="1050"/>
        <w:rPr>
          <w:rFonts w:ascii="宋体" w:hAnsi="宋体" w:cs="宋体"/>
          <w:sz w:val="24"/>
        </w:rPr>
      </w:pPr>
      <w:r>
        <w:rPr>
          <w:rFonts w:hint="eastAsia" w:ascii="宋体" w:hAnsi="宋体" w:cs="宋体"/>
          <w:sz w:val="24"/>
        </w:rPr>
        <w:t>邮箱：</w:t>
      </w:r>
      <w:bookmarkEnd w:id="0"/>
      <w:bookmarkEnd w:id="1"/>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19"/>
          <w:rFonts w:ascii="宋体"/>
          <w:szCs w:val="21"/>
        </w:rPr>
        <w:t>liyi@shchildren.com.cn</w:t>
      </w:r>
      <w:r>
        <w:rPr>
          <w:rFonts w:ascii="宋体"/>
          <w:szCs w:val="21"/>
        </w:rPr>
        <w:fldChar w:fldCharType="end"/>
      </w:r>
    </w:p>
    <w:p>
      <w:pPr>
        <w:pStyle w:val="23"/>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pPr>
        <w:pStyle w:val="14"/>
        <w:numPr>
          <w:ilvl w:val="0"/>
          <w:numId w:val="0"/>
        </w:numPr>
        <w:spacing w:line="288" w:lineRule="auto"/>
        <w:ind w:left="420" w:leftChars="0"/>
        <w:rPr>
          <w:rFonts w:hint="eastAsia" w:cs="宋体"/>
          <w:shd w:val="clear" w:color="auto" w:fill="auto"/>
          <w:lang w:val="en-US" w:eastAsia="zh-CN"/>
        </w:rPr>
      </w:pPr>
      <w:r>
        <w:rPr>
          <w:rFonts w:hint="eastAsia" w:cs="宋体"/>
          <w:shd w:val="clear" w:color="auto" w:fill="auto"/>
          <w:lang w:val="en-US" w:eastAsia="zh-CN"/>
        </w:rPr>
        <w:t>所有遴选响应文件务必须排版胶装并按要求以档案袋密封后于2023年3月17日北京时间13:30前提交上海市泸定路355号住院部503会议室，并于</w:t>
      </w:r>
      <w:r>
        <w:rPr>
          <w:rFonts w:hint="eastAsia" w:cs="宋体"/>
          <w:u w:val="single"/>
          <w:shd w:val="clear" w:color="auto" w:fill="auto"/>
          <w:lang w:val="en-US" w:eastAsia="zh-CN"/>
        </w:rPr>
        <w:t>2023年3月17日北京时间13:30</w:t>
      </w:r>
      <w:r>
        <w:rPr>
          <w:rFonts w:hint="eastAsia" w:cs="宋体"/>
          <w:shd w:val="clear" w:color="auto" w:fill="auto"/>
          <w:lang w:val="en-US" w:eastAsia="zh-CN"/>
        </w:rPr>
        <w:t>在上海市泸定路355号</w:t>
      </w:r>
      <w:r>
        <w:rPr>
          <w:rFonts w:hint="eastAsia" w:cs="宋体"/>
          <w:u w:val="single"/>
          <w:shd w:val="clear" w:color="auto" w:fill="auto"/>
          <w:lang w:val="en-US" w:eastAsia="zh-CN"/>
        </w:rPr>
        <w:t>住院部503会议室</w:t>
      </w:r>
      <w:r>
        <w:rPr>
          <w:rFonts w:hint="eastAsia" w:cs="宋体"/>
          <w:shd w:val="clear" w:color="auto" w:fill="auto"/>
          <w:lang w:val="en-US" w:eastAsia="zh-CN"/>
        </w:rPr>
        <w:t>举行遴选开标，届时投标人可派代表出席开标会。</w:t>
      </w:r>
    </w:p>
    <w:p>
      <w:pPr>
        <w:pStyle w:val="14"/>
        <w:numPr>
          <w:ilvl w:val="0"/>
          <w:numId w:val="0"/>
        </w:numPr>
        <w:spacing w:line="288" w:lineRule="auto"/>
        <w:ind w:left="420" w:leftChars="0"/>
        <w:jc w:val="left"/>
        <w:rPr>
          <w:rFonts w:hint="eastAsia" w:cs="宋体"/>
          <w:shd w:val="clear" w:color="auto" w:fill="auto"/>
          <w:lang w:val="en-US" w:eastAsia="zh-CN"/>
        </w:rPr>
      </w:pPr>
      <w:r>
        <w:rPr>
          <w:rFonts w:hint="eastAsia" w:cs="宋体"/>
          <w:shd w:val="clear" w:color="auto" w:fill="auto"/>
          <w:lang w:val="en-US" w:eastAsia="zh-CN"/>
        </w:rPr>
        <w:t>欲参与遴选的公司请于截止时间前点击如下链接完成遴选报名表。</w:t>
      </w:r>
      <w:r>
        <w:rPr>
          <w:rFonts w:hint="eastAsia" w:cs="宋体"/>
          <w:u w:val="single"/>
          <w:shd w:val="clear" w:color="auto" w:fill="auto"/>
          <w:lang w:val="en-US" w:eastAsia="zh-CN"/>
        </w:rPr>
        <w:t xml:space="preserve">https://www.wjx.top/vm/QAuomGd.aspx# </w:t>
      </w:r>
    </w:p>
    <w:p>
      <w:pPr>
        <w:pStyle w:val="23"/>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pPr>
        <w:pStyle w:val="14"/>
        <w:numPr>
          <w:ilvl w:val="0"/>
          <w:numId w:val="5"/>
        </w:numPr>
        <w:spacing w:line="288" w:lineRule="auto"/>
        <w:rPr>
          <w:rFonts w:cs="宋体"/>
          <w:shd w:val="clear" w:color="auto" w:fill="auto"/>
        </w:rPr>
      </w:pPr>
      <w:r>
        <w:rPr>
          <w:rFonts w:hint="eastAsia" w:cs="宋体"/>
          <w:shd w:val="clear" w:color="auto" w:fill="auto"/>
        </w:rPr>
        <w:t>遴选响应文件中不满足技术规格中加注“★”要求的视为投标无效。</w:t>
      </w:r>
    </w:p>
    <w:p>
      <w:pPr>
        <w:pStyle w:val="14"/>
        <w:numPr>
          <w:ilvl w:val="0"/>
          <w:numId w:val="5"/>
        </w:numPr>
        <w:spacing w:line="288" w:lineRule="auto"/>
        <w:rPr>
          <w:rFonts w:cs="宋体"/>
          <w:shd w:val="clear" w:color="auto" w:fill="auto"/>
        </w:rPr>
      </w:pPr>
      <w:r>
        <w:rPr>
          <w:rFonts w:hint="eastAsia" w:cs="宋体"/>
          <w:shd w:val="clear" w:color="auto" w:fill="auto"/>
        </w:rPr>
        <w:t xml:space="preserve">医院将根据质量和服务均能满足采购文件实质性响应要求综合评定的原则确定成交供应商。具体评分标准如下： </w:t>
      </w:r>
    </w:p>
    <w:tbl>
      <w:tblPr>
        <w:tblStyle w:val="15"/>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943"/>
        <w:gridCol w:w="6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3" w:type="pct"/>
            <w:noWrap w:val="0"/>
            <w:vAlign w:val="top"/>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评审内容</w:t>
            </w:r>
          </w:p>
        </w:tc>
        <w:tc>
          <w:tcPr>
            <w:tcW w:w="498" w:type="pct"/>
            <w:noWrap w:val="0"/>
            <w:vAlign w:val="top"/>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满分</w:t>
            </w:r>
          </w:p>
        </w:tc>
        <w:tc>
          <w:tcPr>
            <w:tcW w:w="3588" w:type="pct"/>
            <w:noWrap w:val="0"/>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3" w:type="pct"/>
            <w:noWrap w:val="0"/>
            <w:vAlign w:val="top"/>
          </w:tcPr>
          <w:p>
            <w:pPr>
              <w:spacing w:line="360" w:lineRule="auto"/>
              <w:ind w:left="-91"/>
              <w:jc w:val="left"/>
              <w:rPr>
                <w:rFonts w:ascii="宋体" w:hAnsi="宋体" w:cs="宋体"/>
                <w:b/>
                <w:color w:val="auto"/>
                <w:spacing w:val="8"/>
                <w:kern w:val="0"/>
                <w:sz w:val="24"/>
              </w:rPr>
            </w:pPr>
            <w:r>
              <w:rPr>
                <w:rFonts w:hint="eastAsia" w:ascii="宋体" w:hAnsi="宋体"/>
                <w:color w:val="auto"/>
                <w:sz w:val="24"/>
              </w:rPr>
              <w:t>一、报价部分</w:t>
            </w:r>
          </w:p>
        </w:tc>
        <w:tc>
          <w:tcPr>
            <w:tcW w:w="498" w:type="pct"/>
            <w:noWrap w:val="0"/>
            <w:vAlign w:val="center"/>
          </w:tcPr>
          <w:p>
            <w:pPr>
              <w:spacing w:line="360" w:lineRule="auto"/>
              <w:ind w:left="-91"/>
              <w:jc w:val="center"/>
              <w:rPr>
                <w:rFonts w:ascii="宋体" w:hAnsi="宋体" w:cs="宋体"/>
                <w:b/>
                <w:color w:val="auto"/>
                <w:spacing w:val="8"/>
                <w:kern w:val="0"/>
                <w:sz w:val="24"/>
              </w:rPr>
            </w:pPr>
            <w:r>
              <w:rPr>
                <w:rFonts w:hint="eastAsia" w:ascii="宋体" w:hAnsi="宋体"/>
                <w:color w:val="auto"/>
                <w:sz w:val="24"/>
                <w:lang w:val="en-US" w:eastAsia="zh-CN"/>
              </w:rPr>
              <w:t>30</w:t>
            </w:r>
            <w:r>
              <w:rPr>
                <w:rFonts w:hint="eastAsia" w:ascii="宋体" w:hAnsi="宋体"/>
                <w:color w:val="auto"/>
                <w:sz w:val="24"/>
              </w:rPr>
              <w:t>分</w:t>
            </w:r>
          </w:p>
        </w:tc>
        <w:tc>
          <w:tcPr>
            <w:tcW w:w="3588" w:type="pct"/>
            <w:noWrap w:val="0"/>
            <w:vAlign w:val="center"/>
          </w:tcPr>
          <w:p>
            <w:pPr>
              <w:kinsoku w:val="0"/>
              <w:autoSpaceDE w:val="0"/>
              <w:autoSpaceDN w:val="0"/>
              <w:spacing w:line="360" w:lineRule="auto"/>
              <w:ind w:right="57"/>
              <w:textAlignment w:val="bottom"/>
              <w:rPr>
                <w:rFonts w:ascii="宋体" w:hAnsi="宋体" w:eastAsia="宋体" w:cs="宋体"/>
                <w:sz w:val="24"/>
              </w:rPr>
            </w:pPr>
            <w:r>
              <w:rPr>
                <w:rFonts w:hint="eastAsia" w:ascii="宋体" w:hAnsi="宋体" w:eastAsia="宋体" w:cs="宋体"/>
                <w:sz w:val="24"/>
              </w:rPr>
              <w:t>投标人价格分计分公式为：</w:t>
            </w:r>
            <w:r>
              <w:rPr>
                <w:rFonts w:hint="eastAsia" w:ascii="宋体" w:hAnsi="宋体" w:cs="宋体"/>
                <w:sz w:val="24"/>
                <w:lang w:val="en-US" w:eastAsia="zh-CN"/>
              </w:rPr>
              <w:t>32</w:t>
            </w:r>
            <w:r>
              <w:rPr>
                <w:rFonts w:hint="eastAsia" w:ascii="宋体" w:hAnsi="宋体" w:eastAsia="宋体" w:cs="宋体"/>
                <w:sz w:val="24"/>
              </w:rPr>
              <w:t>×满足招标文件要求的最低报价/投标人的报价。</w:t>
            </w:r>
          </w:p>
          <w:p>
            <w:pPr>
              <w:spacing w:line="360" w:lineRule="auto"/>
              <w:jc w:val="left"/>
              <w:rPr>
                <w:rFonts w:hint="eastAsia" w:ascii="宋体" w:hAnsi="宋体" w:eastAsia="宋体"/>
                <w:color w:val="auto"/>
                <w:sz w:val="24"/>
                <w:lang w:val="en-US" w:eastAsia="zh-CN"/>
              </w:rPr>
            </w:pPr>
            <w:r>
              <w:rPr>
                <w:rFonts w:hint="eastAsia" w:ascii="宋体" w:hAnsi="宋体" w:eastAsia="宋体" w:cs="宋体"/>
                <w:sz w:val="24"/>
              </w:rPr>
              <w:t>投标人的报价按照Σ（</w:t>
            </w:r>
            <w:r>
              <w:rPr>
                <w:rFonts w:hint="eastAsia" w:ascii="宋体" w:hAnsi="宋体" w:cs="宋体"/>
                <w:sz w:val="24"/>
                <w:lang w:val="en-US" w:eastAsia="zh-CN"/>
              </w:rPr>
              <w:t>产品单价</w:t>
            </w:r>
            <w:r>
              <w:rPr>
                <w:rFonts w:hint="eastAsia" w:ascii="宋体" w:hAnsi="宋体" w:eastAsia="宋体" w:cs="宋体"/>
                <w:sz w:val="24"/>
              </w:rPr>
              <w:t>*该</w:t>
            </w:r>
            <w:r>
              <w:rPr>
                <w:rFonts w:hint="eastAsia" w:ascii="宋体" w:hAnsi="宋体" w:cs="宋体"/>
                <w:sz w:val="24"/>
                <w:lang w:val="en-US" w:eastAsia="zh-CN"/>
              </w:rPr>
              <w:t>品类</w:t>
            </w:r>
            <w:r>
              <w:rPr>
                <w:rFonts w:hint="eastAsia" w:ascii="宋体" w:hAnsi="宋体" w:eastAsia="宋体" w:cs="宋体"/>
                <w:sz w:val="24"/>
              </w:rPr>
              <w:t>单价在报价中占比）进行计算，</w:t>
            </w:r>
            <w:r>
              <w:rPr>
                <w:rFonts w:hint="eastAsia" w:ascii="宋体" w:hAnsi="宋体" w:eastAsia="宋体" w:cs="宋体"/>
                <w:sz w:val="24"/>
                <w:highlight w:val="none"/>
              </w:rPr>
              <w:t>其中“50人成团报价”</w:t>
            </w:r>
            <w:r>
              <w:rPr>
                <w:rFonts w:hint="eastAsia" w:ascii="宋体" w:hAnsi="宋体" w:cs="宋体"/>
                <w:sz w:val="24"/>
                <w:highlight w:val="none"/>
                <w:lang w:val="en-US" w:eastAsia="zh-CN"/>
              </w:rPr>
              <w:t>15</w:t>
            </w:r>
            <w:r>
              <w:rPr>
                <w:rFonts w:hint="eastAsia" w:ascii="宋体" w:hAnsi="宋体" w:eastAsia="宋体" w:cs="宋体"/>
                <w:sz w:val="24"/>
                <w:highlight w:val="none"/>
              </w:rPr>
              <w:t>分，“30人成团报价”</w:t>
            </w:r>
            <w:r>
              <w:rPr>
                <w:rFonts w:hint="eastAsia" w:ascii="宋体" w:hAnsi="宋体" w:cs="宋体"/>
                <w:sz w:val="24"/>
                <w:highlight w:val="none"/>
                <w:lang w:val="en-US" w:eastAsia="zh-CN"/>
              </w:rPr>
              <w:t>15</w:t>
            </w:r>
            <w:r>
              <w:rPr>
                <w:rFonts w:hint="eastAsia" w:ascii="宋体" w:hAnsi="宋体" w:eastAsia="宋体" w:cs="宋体"/>
                <w:sz w:val="24"/>
                <w:highlight w:val="none"/>
              </w:rPr>
              <w:t>分</w:t>
            </w:r>
            <w:r>
              <w:rPr>
                <w:rFonts w:hint="eastAsia" w:ascii="宋体" w:hAnsi="宋体" w:cs="宋体"/>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3" w:type="pct"/>
            <w:noWrap w:val="0"/>
            <w:vAlign w:val="top"/>
          </w:tcPr>
          <w:p>
            <w:pPr>
              <w:spacing w:line="360" w:lineRule="auto"/>
              <w:ind w:left="-91"/>
              <w:jc w:val="left"/>
              <w:rPr>
                <w:rFonts w:ascii="宋体" w:hAnsi="宋体"/>
                <w:color w:val="auto"/>
                <w:sz w:val="24"/>
              </w:rPr>
            </w:pPr>
            <w:r>
              <w:rPr>
                <w:rFonts w:hint="eastAsia" w:ascii="宋体" w:hAnsi="宋体"/>
                <w:color w:val="auto"/>
                <w:sz w:val="24"/>
              </w:rPr>
              <w:t>二、商务部分</w:t>
            </w:r>
          </w:p>
        </w:tc>
        <w:tc>
          <w:tcPr>
            <w:tcW w:w="498" w:type="pct"/>
            <w:noWrap w:val="0"/>
            <w:vAlign w:val="center"/>
          </w:tcPr>
          <w:p>
            <w:pPr>
              <w:spacing w:line="360" w:lineRule="auto"/>
              <w:ind w:left="-91"/>
              <w:jc w:val="center"/>
              <w:rPr>
                <w:rFonts w:ascii="宋体" w:hAnsi="宋体"/>
                <w:color w:val="auto"/>
                <w:sz w:val="24"/>
              </w:rPr>
            </w:pPr>
            <w:r>
              <w:rPr>
                <w:rFonts w:hint="eastAsia" w:ascii="宋体" w:hAnsi="宋体"/>
                <w:color w:val="auto"/>
                <w:sz w:val="24"/>
                <w:lang w:val="en-US" w:eastAsia="zh-CN"/>
              </w:rPr>
              <w:t>18</w:t>
            </w:r>
            <w:r>
              <w:rPr>
                <w:rFonts w:hint="eastAsia" w:ascii="宋体" w:hAnsi="宋体"/>
                <w:color w:val="auto"/>
                <w:sz w:val="24"/>
              </w:rPr>
              <w:t>分</w:t>
            </w:r>
          </w:p>
        </w:tc>
        <w:tc>
          <w:tcPr>
            <w:tcW w:w="3588" w:type="pct"/>
            <w:noWrap w:val="0"/>
            <w:vAlign w:val="center"/>
          </w:tcPr>
          <w:p>
            <w:pPr>
              <w:spacing w:line="360" w:lineRule="auto"/>
              <w:jc w:val="lef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trPr>
        <w:tc>
          <w:tcPr>
            <w:tcW w:w="913" w:type="pct"/>
            <w:noWrap w:val="0"/>
            <w:vAlign w:val="top"/>
          </w:tcPr>
          <w:p>
            <w:pPr>
              <w:spacing w:line="360" w:lineRule="auto"/>
              <w:ind w:left="-91"/>
              <w:jc w:val="left"/>
              <w:rPr>
                <w:rFonts w:ascii="宋体" w:hAnsi="宋体"/>
                <w:color w:val="auto"/>
                <w:sz w:val="24"/>
              </w:rPr>
            </w:pPr>
            <w:r>
              <w:rPr>
                <w:rFonts w:hint="eastAsia" w:ascii="宋体" w:hAnsi="宋体"/>
                <w:color w:val="auto"/>
                <w:sz w:val="24"/>
              </w:rPr>
              <w:t>1、综合实力</w:t>
            </w:r>
          </w:p>
        </w:tc>
        <w:tc>
          <w:tcPr>
            <w:tcW w:w="498" w:type="pct"/>
            <w:noWrap w:val="0"/>
            <w:vAlign w:val="center"/>
          </w:tcPr>
          <w:p>
            <w:pPr>
              <w:spacing w:line="360" w:lineRule="auto"/>
              <w:ind w:left="-91"/>
              <w:jc w:val="center"/>
              <w:rPr>
                <w:rFonts w:ascii="宋体" w:hAnsi="宋体"/>
                <w:color w:val="auto"/>
                <w:sz w:val="24"/>
              </w:rPr>
            </w:pPr>
            <w:r>
              <w:rPr>
                <w:rFonts w:hint="eastAsia" w:ascii="宋体" w:hAnsi="宋体"/>
                <w:color w:val="auto"/>
                <w:sz w:val="24"/>
                <w:lang w:val="en-US" w:eastAsia="zh-CN"/>
              </w:rPr>
              <w:t>10</w:t>
            </w:r>
            <w:r>
              <w:rPr>
                <w:rFonts w:hint="eastAsia" w:ascii="宋体" w:hAnsi="宋体"/>
                <w:color w:val="auto"/>
                <w:sz w:val="24"/>
              </w:rPr>
              <w:t>分</w:t>
            </w:r>
          </w:p>
        </w:tc>
        <w:tc>
          <w:tcPr>
            <w:tcW w:w="3588" w:type="pct"/>
            <w:noWrap w:val="0"/>
            <w:vAlign w:val="top"/>
          </w:tcPr>
          <w:p>
            <w:pPr>
              <w:spacing w:line="360" w:lineRule="auto"/>
              <w:jc w:val="left"/>
              <w:rPr>
                <w:rFonts w:ascii="宋体" w:hAnsi="宋体"/>
                <w:color w:val="auto"/>
                <w:sz w:val="24"/>
              </w:rPr>
            </w:pPr>
            <w:r>
              <w:rPr>
                <w:rFonts w:hint="eastAsia" w:ascii="宋体" w:hAnsi="宋体"/>
                <w:color w:val="auto"/>
                <w:sz w:val="24"/>
              </w:rPr>
              <w:t>根据投标人的</w:t>
            </w:r>
            <w:r>
              <w:rPr>
                <w:rFonts w:hint="eastAsia" w:ascii="宋体" w:hAnsi="宋体"/>
                <w:color w:val="auto"/>
                <w:sz w:val="24"/>
                <w:lang w:val="en-US" w:eastAsia="zh-CN"/>
              </w:rPr>
              <w:t>企业规模</w:t>
            </w:r>
            <w:r>
              <w:rPr>
                <w:rFonts w:hint="eastAsia" w:ascii="宋体" w:hAnsi="宋体"/>
                <w:color w:val="auto"/>
                <w:sz w:val="24"/>
              </w:rPr>
              <w:t>、所获资质及荣誉、财务</w:t>
            </w:r>
            <w:r>
              <w:rPr>
                <w:rFonts w:hint="eastAsia" w:ascii="宋体" w:hAnsi="宋体"/>
                <w:color w:val="auto"/>
                <w:sz w:val="24"/>
                <w:lang w:val="en-US" w:eastAsia="zh-CN"/>
              </w:rPr>
              <w:t>状况</w:t>
            </w:r>
            <w:r>
              <w:rPr>
                <w:rFonts w:hint="eastAsia" w:ascii="宋体" w:hAnsi="宋体"/>
                <w:color w:val="auto"/>
                <w:sz w:val="24"/>
              </w:rPr>
              <w:t>等综合评定。</w:t>
            </w:r>
          </w:p>
          <w:p>
            <w:pPr>
              <w:spacing w:line="360" w:lineRule="auto"/>
              <w:rPr>
                <w:rFonts w:ascii="宋体" w:hAnsi="宋体"/>
                <w:color w:val="auto"/>
                <w:sz w:val="24"/>
              </w:rPr>
            </w:pPr>
            <w:r>
              <w:rPr>
                <w:rFonts w:hint="eastAsia" w:ascii="宋体" w:hAnsi="宋体" w:cs="宋体"/>
                <w:color w:val="auto"/>
                <w:sz w:val="24"/>
              </w:rPr>
              <w:t>最好，得7分-10分（含）；一般，得3分-7分（含）；较差，得0分（含）-3分（含）。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trPr>
        <w:tc>
          <w:tcPr>
            <w:tcW w:w="913" w:type="pct"/>
            <w:noWrap w:val="0"/>
            <w:vAlign w:val="top"/>
          </w:tcPr>
          <w:p>
            <w:pPr>
              <w:spacing w:line="360" w:lineRule="auto"/>
              <w:ind w:left="-91"/>
              <w:jc w:val="left"/>
              <w:rPr>
                <w:rFonts w:ascii="宋体" w:hAnsi="宋体"/>
                <w:color w:val="auto"/>
                <w:sz w:val="24"/>
              </w:rPr>
            </w:pPr>
            <w:r>
              <w:rPr>
                <w:rFonts w:hint="eastAsia" w:ascii="宋体" w:hAnsi="宋体"/>
                <w:color w:val="auto"/>
                <w:sz w:val="24"/>
              </w:rPr>
              <w:t>2、类似项目经验</w:t>
            </w:r>
          </w:p>
        </w:tc>
        <w:tc>
          <w:tcPr>
            <w:tcW w:w="498" w:type="pct"/>
            <w:noWrap w:val="0"/>
            <w:vAlign w:val="center"/>
          </w:tcPr>
          <w:p>
            <w:pPr>
              <w:spacing w:line="360" w:lineRule="auto"/>
              <w:ind w:left="-91"/>
              <w:jc w:val="center"/>
              <w:rPr>
                <w:rFonts w:ascii="宋体" w:hAnsi="宋体"/>
                <w:color w:val="auto"/>
                <w:sz w:val="24"/>
              </w:rPr>
            </w:pPr>
            <w:r>
              <w:rPr>
                <w:rFonts w:hint="eastAsia" w:ascii="宋体" w:hAnsi="宋体"/>
                <w:color w:val="auto"/>
                <w:sz w:val="24"/>
                <w:lang w:val="en-US" w:eastAsia="zh-CN"/>
              </w:rPr>
              <w:t>10</w:t>
            </w:r>
            <w:r>
              <w:rPr>
                <w:rFonts w:hint="eastAsia" w:ascii="宋体" w:hAnsi="宋体"/>
                <w:color w:val="auto"/>
                <w:sz w:val="24"/>
              </w:rPr>
              <w:t>分</w:t>
            </w:r>
          </w:p>
        </w:tc>
        <w:tc>
          <w:tcPr>
            <w:tcW w:w="3588" w:type="pct"/>
            <w:noWrap w:val="0"/>
            <w:vAlign w:val="top"/>
          </w:tcPr>
          <w:p>
            <w:pPr>
              <w:spacing w:line="360" w:lineRule="auto"/>
              <w:rPr>
                <w:rFonts w:ascii="宋体" w:hAnsi="宋体"/>
                <w:color w:val="auto"/>
                <w:sz w:val="24"/>
              </w:rPr>
            </w:pPr>
            <w:r>
              <w:rPr>
                <w:rFonts w:hint="eastAsia" w:ascii="宋体" w:hAnsi="宋体"/>
                <w:color w:val="auto"/>
                <w:sz w:val="24"/>
              </w:rPr>
              <w:t>投标人自20</w:t>
            </w:r>
            <w:r>
              <w:rPr>
                <w:rFonts w:hint="eastAsia" w:ascii="宋体" w:hAnsi="宋体"/>
                <w:color w:val="auto"/>
                <w:sz w:val="24"/>
                <w:lang w:val="en-US" w:eastAsia="zh-CN"/>
              </w:rPr>
              <w:t>20</w:t>
            </w:r>
            <w:r>
              <w:rPr>
                <w:rFonts w:hint="eastAsia" w:ascii="宋体" w:hAnsi="宋体"/>
                <w:color w:val="auto"/>
                <w:sz w:val="24"/>
              </w:rPr>
              <w:t>年1月1日以来承接的类似相关业务经验证明(以合同复印件为准，复印件中需体现合同的签约主体、项目名称及内容、服务时间等合同要素的相关内容，否则将不予认可。)。每提供1份有效证明文件得1分，最高</w:t>
            </w:r>
            <w:r>
              <w:rPr>
                <w:rFonts w:hint="eastAsia" w:ascii="宋体" w:hAnsi="宋体"/>
                <w:color w:val="auto"/>
                <w:sz w:val="24"/>
                <w:lang w:val="en-US" w:eastAsia="zh-CN"/>
              </w:rPr>
              <w:t>10</w:t>
            </w:r>
            <w:r>
              <w:rPr>
                <w:rFonts w:hint="eastAsia" w:ascii="宋体" w:hAnsi="宋体"/>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3" w:type="pct"/>
            <w:noWrap w:val="0"/>
            <w:vAlign w:val="top"/>
          </w:tcPr>
          <w:p>
            <w:pPr>
              <w:spacing w:line="360" w:lineRule="auto"/>
              <w:ind w:left="-91"/>
              <w:jc w:val="left"/>
              <w:rPr>
                <w:rFonts w:ascii="宋体" w:hAnsi="宋体"/>
                <w:color w:val="auto"/>
                <w:sz w:val="24"/>
              </w:rPr>
            </w:pPr>
            <w:r>
              <w:rPr>
                <w:rFonts w:hint="eastAsia" w:ascii="宋体" w:hAnsi="宋体"/>
                <w:color w:val="auto"/>
                <w:sz w:val="24"/>
              </w:rPr>
              <w:t>三、技术部分</w:t>
            </w:r>
          </w:p>
        </w:tc>
        <w:tc>
          <w:tcPr>
            <w:tcW w:w="498" w:type="pct"/>
            <w:noWrap w:val="0"/>
            <w:vAlign w:val="center"/>
          </w:tcPr>
          <w:p>
            <w:pPr>
              <w:spacing w:line="360" w:lineRule="auto"/>
              <w:jc w:val="center"/>
              <w:rPr>
                <w:rFonts w:ascii="宋体" w:hAnsi="宋体"/>
                <w:color w:val="auto"/>
                <w:sz w:val="24"/>
              </w:rPr>
            </w:pPr>
            <w:r>
              <w:rPr>
                <w:rFonts w:hint="eastAsia" w:ascii="宋体" w:hAnsi="宋体"/>
                <w:color w:val="auto"/>
                <w:sz w:val="24"/>
                <w:lang w:val="en-US" w:eastAsia="zh-CN"/>
              </w:rPr>
              <w:t>50</w:t>
            </w:r>
            <w:r>
              <w:rPr>
                <w:rFonts w:hint="eastAsia" w:ascii="宋体" w:hAnsi="宋体"/>
                <w:color w:val="auto"/>
                <w:sz w:val="24"/>
              </w:rPr>
              <w:t>分</w:t>
            </w:r>
          </w:p>
        </w:tc>
        <w:tc>
          <w:tcPr>
            <w:tcW w:w="3588" w:type="pct"/>
            <w:noWrap w:val="0"/>
            <w:vAlign w:val="center"/>
          </w:tcPr>
          <w:p>
            <w:pPr>
              <w:spacing w:line="360" w:lineRule="auto"/>
              <w:jc w:val="lef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913" w:type="pct"/>
            <w:noWrap w:val="0"/>
            <w:vAlign w:val="top"/>
          </w:tcPr>
          <w:p>
            <w:pPr>
              <w:spacing w:line="360" w:lineRule="auto"/>
              <w:ind w:left="-91"/>
              <w:jc w:val="left"/>
              <w:rPr>
                <w:rFonts w:ascii="宋体" w:hAnsi="宋体"/>
                <w:color w:val="auto"/>
                <w:sz w:val="24"/>
              </w:rPr>
            </w:pPr>
            <w:r>
              <w:rPr>
                <w:rFonts w:hint="eastAsia" w:ascii="宋体" w:hAnsi="宋体"/>
                <w:color w:val="auto"/>
                <w:sz w:val="24"/>
              </w:rPr>
              <w:t>1、</w:t>
            </w:r>
            <w:r>
              <w:rPr>
                <w:rFonts w:hint="eastAsia" w:ascii="宋体" w:hAnsi="宋体" w:cs="宋体"/>
                <w:color w:val="auto"/>
                <w:sz w:val="24"/>
              </w:rPr>
              <w:t>服务响应情况</w:t>
            </w:r>
          </w:p>
        </w:tc>
        <w:tc>
          <w:tcPr>
            <w:tcW w:w="498" w:type="pct"/>
            <w:noWrap w:val="0"/>
            <w:vAlign w:val="center"/>
          </w:tcPr>
          <w:p>
            <w:pPr>
              <w:spacing w:line="360" w:lineRule="auto"/>
              <w:ind w:left="-91"/>
              <w:jc w:val="center"/>
              <w:rPr>
                <w:rFonts w:ascii="宋体" w:hAnsi="宋体"/>
                <w:color w:val="auto"/>
                <w:sz w:val="24"/>
              </w:rPr>
            </w:pPr>
            <w:r>
              <w:rPr>
                <w:rFonts w:hint="eastAsia" w:ascii="宋体" w:hAnsi="宋体"/>
                <w:color w:val="auto"/>
                <w:sz w:val="24"/>
                <w:lang w:val="en-US" w:eastAsia="zh-CN"/>
              </w:rPr>
              <w:t>20</w:t>
            </w:r>
            <w:r>
              <w:rPr>
                <w:rFonts w:hint="eastAsia" w:ascii="宋体" w:hAnsi="宋体"/>
                <w:color w:val="auto"/>
                <w:sz w:val="24"/>
              </w:rPr>
              <w:t>分</w:t>
            </w:r>
          </w:p>
        </w:tc>
        <w:tc>
          <w:tcPr>
            <w:tcW w:w="3588" w:type="pct"/>
            <w:noWrap w:val="0"/>
            <w:vAlign w:val="center"/>
          </w:tcPr>
          <w:p>
            <w:pPr>
              <w:spacing w:line="360" w:lineRule="auto"/>
              <w:jc w:val="left"/>
              <w:rPr>
                <w:rFonts w:ascii="宋体" w:hAnsi="宋体"/>
                <w:color w:val="auto"/>
                <w:sz w:val="24"/>
              </w:rPr>
            </w:pPr>
            <w:r>
              <w:rPr>
                <w:rFonts w:hint="eastAsia" w:ascii="宋体" w:hAnsi="宋体" w:cs="宋体"/>
                <w:sz w:val="24"/>
              </w:rPr>
              <w:t>根据各投标人对招标文件需求响应情况进行评审</w:t>
            </w:r>
            <w:r>
              <w:rPr>
                <w:rFonts w:hint="eastAsia" w:ascii="宋体" w:hAnsi="宋体"/>
                <w:sz w:val="24"/>
              </w:rPr>
              <w:t>。一般技术参数低于招标文件要求，有一项减1分。最低得0分。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13" w:type="pct"/>
            <w:noWrap w:val="0"/>
            <w:vAlign w:val="top"/>
          </w:tcPr>
          <w:p>
            <w:pPr>
              <w:spacing w:line="360" w:lineRule="auto"/>
              <w:ind w:left="-91"/>
              <w:jc w:val="left"/>
              <w:rPr>
                <w:rFonts w:ascii="宋体" w:hAnsi="宋体"/>
                <w:snapToGrid w:val="0"/>
                <w:color w:val="auto"/>
                <w:kern w:val="0"/>
                <w:sz w:val="24"/>
              </w:rPr>
            </w:pPr>
            <w:r>
              <w:rPr>
                <w:rFonts w:hint="eastAsia" w:ascii="宋体" w:hAnsi="宋体"/>
                <w:color w:val="auto"/>
                <w:sz w:val="24"/>
              </w:rPr>
              <w:t>2、</w:t>
            </w:r>
            <w:r>
              <w:rPr>
                <w:rFonts w:hint="eastAsia" w:ascii="宋体" w:hAnsi="宋体" w:cs="宋体"/>
                <w:color w:val="auto"/>
                <w:sz w:val="24"/>
              </w:rPr>
              <w:t>服务方案</w:t>
            </w:r>
          </w:p>
        </w:tc>
        <w:tc>
          <w:tcPr>
            <w:tcW w:w="498" w:type="pct"/>
            <w:noWrap w:val="0"/>
            <w:vAlign w:val="center"/>
          </w:tcPr>
          <w:p>
            <w:pPr>
              <w:spacing w:line="360" w:lineRule="auto"/>
              <w:ind w:left="-91"/>
              <w:jc w:val="center"/>
              <w:rPr>
                <w:rFonts w:ascii="宋体" w:hAnsi="宋体"/>
                <w:color w:val="auto"/>
                <w:sz w:val="24"/>
              </w:rPr>
            </w:pPr>
            <w:r>
              <w:rPr>
                <w:rFonts w:hint="eastAsia" w:ascii="宋体" w:hAnsi="宋体"/>
                <w:color w:val="auto"/>
                <w:sz w:val="24"/>
                <w:lang w:val="en-US" w:eastAsia="zh-CN"/>
              </w:rPr>
              <w:t>20</w:t>
            </w:r>
            <w:r>
              <w:rPr>
                <w:rFonts w:hint="eastAsia" w:ascii="宋体" w:hAnsi="宋体"/>
                <w:color w:val="auto"/>
                <w:sz w:val="24"/>
              </w:rPr>
              <w:t>分</w:t>
            </w:r>
          </w:p>
        </w:tc>
        <w:tc>
          <w:tcPr>
            <w:tcW w:w="3588" w:type="pct"/>
            <w:noWrap w:val="0"/>
            <w:vAlign w:val="center"/>
          </w:tcPr>
          <w:p>
            <w:pPr>
              <w:numPr>
                <w:ilvl w:val="0"/>
                <w:numId w:val="0"/>
              </w:numPr>
              <w:spacing w:line="360" w:lineRule="auto"/>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1、根据各供应商提供的</w:t>
            </w:r>
            <w:r>
              <w:rPr>
                <w:rFonts w:hint="eastAsia" w:ascii="宋体" w:hAnsi="宋体" w:cs="Times New Roman"/>
                <w:b/>
                <w:bCs/>
                <w:kern w:val="2"/>
                <w:sz w:val="24"/>
                <w:szCs w:val="24"/>
                <w:lang w:val="en-US" w:eastAsia="zh-CN" w:bidi="ar-SA"/>
              </w:rPr>
              <w:t>旅游方案</w:t>
            </w:r>
            <w:r>
              <w:rPr>
                <w:rFonts w:hint="eastAsia" w:ascii="宋体" w:hAnsi="宋体" w:eastAsia="宋体" w:cs="Times New Roman"/>
                <w:kern w:val="2"/>
                <w:sz w:val="24"/>
                <w:szCs w:val="24"/>
                <w:lang w:val="en-US" w:eastAsia="zh-CN" w:bidi="ar-SA"/>
              </w:rPr>
              <w:t>（包括行程路线</w:t>
            </w:r>
            <w:r>
              <w:rPr>
                <w:rFonts w:hint="eastAsia" w:ascii="宋体" w:hAnsi="宋体" w:cs="Times New Roman"/>
                <w:kern w:val="2"/>
                <w:sz w:val="24"/>
                <w:szCs w:val="24"/>
                <w:lang w:val="en-US" w:eastAsia="zh-CN" w:bidi="ar-SA"/>
              </w:rPr>
              <w:t>安排</w:t>
            </w:r>
            <w:r>
              <w:rPr>
                <w:rFonts w:hint="eastAsia" w:ascii="宋体" w:hAnsi="宋体" w:eastAsia="宋体" w:cs="Times New Roman"/>
                <w:kern w:val="2"/>
                <w:sz w:val="24"/>
                <w:szCs w:val="24"/>
                <w:lang w:val="en-US" w:eastAsia="zh-CN" w:bidi="ar-SA"/>
              </w:rPr>
              <w:t>、内容、时间等）的完整性、合理性、科学性进行评分。</w:t>
            </w:r>
          </w:p>
          <w:p>
            <w:pPr>
              <w:numPr>
                <w:ilvl w:val="0"/>
                <w:numId w:val="0"/>
              </w:numPr>
              <w:spacing w:line="360" w:lineRule="auto"/>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最好，得3分-5分（含）；一般，得1分-3分（含）；较差0分（含）-1分（含）。</w:t>
            </w:r>
          </w:p>
          <w:p>
            <w:pPr>
              <w:numPr>
                <w:ilvl w:val="0"/>
                <w:numId w:val="0"/>
              </w:numPr>
              <w:spacing w:line="360" w:lineRule="auto"/>
              <w:ind w:leftChars="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2、根据各供应商提供的</w:t>
            </w:r>
            <w:r>
              <w:rPr>
                <w:rFonts w:hint="eastAsia" w:ascii="宋体" w:hAnsi="宋体" w:eastAsia="宋体" w:cs="Times New Roman"/>
                <w:b/>
                <w:bCs/>
                <w:kern w:val="2"/>
                <w:sz w:val="24"/>
                <w:szCs w:val="24"/>
                <w:lang w:val="en-US" w:eastAsia="zh-CN" w:bidi="ar-SA"/>
              </w:rPr>
              <w:t>全程交通方案</w:t>
            </w:r>
            <w:r>
              <w:rPr>
                <w:rFonts w:hint="eastAsia" w:ascii="宋体" w:hAnsi="宋体" w:eastAsia="宋体" w:cs="Times New Roman"/>
                <w:kern w:val="2"/>
                <w:sz w:val="24"/>
                <w:szCs w:val="24"/>
                <w:lang w:val="en-US" w:eastAsia="zh-CN" w:bidi="ar-SA"/>
              </w:rPr>
              <w:t>（包括往返时间安排、目的地交通方案、交通工具方案等）的完整性、合理性、优劣性进行评分。</w:t>
            </w:r>
          </w:p>
          <w:p>
            <w:pPr>
              <w:pStyle w:val="2"/>
              <w:numPr>
                <w:ilvl w:val="0"/>
                <w:numId w:val="0"/>
              </w:numPr>
              <w:ind w:left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最好，得3分-5分（含）；一般，得1分-3分（含）；较差0分（含）-1分（含）。</w:t>
            </w:r>
          </w:p>
          <w:p>
            <w:pPr>
              <w:spacing w:line="360" w:lineRule="auto"/>
              <w:jc w:val="left"/>
              <w:rPr>
                <w:rFonts w:hint="eastAsia" w:ascii="宋体" w:hAnsi="宋体"/>
                <w:color w:val="auto"/>
                <w:sz w:val="24"/>
              </w:rPr>
            </w:pPr>
            <w:r>
              <w:rPr>
                <w:rFonts w:hint="eastAsia" w:ascii="宋体" w:hAnsi="宋体"/>
                <w:color w:val="auto"/>
                <w:sz w:val="24"/>
              </w:rPr>
              <w:t>3、根据各供应商提供的</w:t>
            </w:r>
            <w:r>
              <w:rPr>
                <w:rFonts w:hint="eastAsia" w:ascii="宋体" w:hAnsi="宋体"/>
                <w:b/>
                <w:bCs/>
                <w:color w:val="auto"/>
                <w:sz w:val="24"/>
              </w:rPr>
              <w:t>用餐方案</w:t>
            </w:r>
            <w:r>
              <w:rPr>
                <w:rFonts w:hint="eastAsia" w:ascii="宋体" w:hAnsi="宋体"/>
                <w:color w:val="auto"/>
                <w:sz w:val="24"/>
              </w:rPr>
              <w:t>进行评分</w:t>
            </w:r>
            <w:r>
              <w:rPr>
                <w:rFonts w:hint="eastAsia" w:ascii="宋体" w:hAnsi="宋体"/>
                <w:color w:val="auto"/>
                <w:sz w:val="24"/>
                <w:lang w:eastAsia="zh-CN"/>
              </w:rPr>
              <w:t>，</w:t>
            </w:r>
            <w:r>
              <w:rPr>
                <w:rFonts w:hint="eastAsia" w:ascii="宋体" w:hAnsi="宋体"/>
                <w:color w:val="auto"/>
                <w:sz w:val="24"/>
                <w:lang w:val="en-US" w:eastAsia="zh-CN"/>
              </w:rPr>
              <w:t>主要</w:t>
            </w:r>
            <w:r>
              <w:rPr>
                <w:rFonts w:hint="eastAsia" w:ascii="宋体" w:hAnsi="宋体"/>
                <w:color w:val="auto"/>
                <w:sz w:val="24"/>
              </w:rPr>
              <w:t>包括：</w:t>
            </w:r>
          </w:p>
          <w:p>
            <w:pPr>
              <w:spacing w:line="360" w:lineRule="auto"/>
              <w:jc w:val="left"/>
              <w:rPr>
                <w:rFonts w:hint="eastAsia" w:ascii="宋体" w:hAnsi="宋体" w:eastAsia="宋体"/>
                <w:color w:val="auto"/>
                <w:sz w:val="24"/>
                <w:lang w:eastAsia="zh-CN"/>
              </w:rPr>
            </w:pPr>
            <w:r>
              <w:rPr>
                <w:rFonts w:hint="eastAsia" w:ascii="宋体" w:hAnsi="宋体"/>
                <w:color w:val="auto"/>
                <w:sz w:val="24"/>
              </w:rPr>
              <w:t>1）用餐价格范围的合理性</w:t>
            </w:r>
            <w:r>
              <w:rPr>
                <w:rFonts w:hint="eastAsia" w:ascii="宋体" w:hAnsi="宋体"/>
                <w:color w:val="auto"/>
                <w:sz w:val="24"/>
                <w:lang w:eastAsia="zh-CN"/>
              </w:rPr>
              <w:t>；</w:t>
            </w:r>
          </w:p>
          <w:p>
            <w:pPr>
              <w:spacing w:line="360" w:lineRule="auto"/>
              <w:jc w:val="left"/>
              <w:rPr>
                <w:rFonts w:hint="eastAsia" w:ascii="宋体" w:hAnsi="宋体" w:eastAsia="宋体"/>
                <w:color w:val="auto"/>
                <w:sz w:val="24"/>
                <w:lang w:eastAsia="zh-CN"/>
              </w:rPr>
            </w:pPr>
            <w:r>
              <w:rPr>
                <w:rFonts w:hint="eastAsia" w:ascii="宋体" w:hAnsi="宋体"/>
                <w:color w:val="auto"/>
                <w:sz w:val="24"/>
              </w:rPr>
              <w:t>2）菜品配置或简单提供菜单图片</w:t>
            </w:r>
            <w:r>
              <w:rPr>
                <w:rFonts w:hint="eastAsia" w:ascii="宋体" w:hAnsi="宋体"/>
                <w:color w:val="auto"/>
                <w:sz w:val="24"/>
                <w:lang w:eastAsia="zh-CN"/>
              </w:rPr>
              <w:t>；</w:t>
            </w:r>
          </w:p>
          <w:p>
            <w:pPr>
              <w:spacing w:line="360" w:lineRule="auto"/>
              <w:jc w:val="left"/>
              <w:rPr>
                <w:rFonts w:hint="eastAsia" w:ascii="宋体" w:hAnsi="宋体" w:eastAsia="宋体"/>
                <w:color w:val="auto"/>
                <w:sz w:val="24"/>
                <w:lang w:eastAsia="zh-CN"/>
              </w:rPr>
            </w:pPr>
            <w:r>
              <w:rPr>
                <w:rFonts w:hint="eastAsia" w:ascii="宋体" w:hAnsi="宋体"/>
                <w:color w:val="auto"/>
                <w:sz w:val="24"/>
              </w:rPr>
              <w:t>3）用餐环境</w:t>
            </w:r>
            <w:r>
              <w:rPr>
                <w:rFonts w:hint="eastAsia" w:ascii="宋体" w:hAnsi="宋体"/>
                <w:color w:val="auto"/>
                <w:sz w:val="24"/>
                <w:lang w:eastAsia="zh-CN"/>
              </w:rPr>
              <w:t>。</w:t>
            </w:r>
          </w:p>
          <w:p>
            <w:pPr>
              <w:spacing w:line="360" w:lineRule="auto"/>
              <w:jc w:val="left"/>
              <w:rPr>
                <w:rFonts w:hint="eastAsia" w:ascii="宋体" w:hAnsi="宋体"/>
                <w:color w:val="auto"/>
                <w:sz w:val="24"/>
              </w:rPr>
            </w:pPr>
            <w:r>
              <w:rPr>
                <w:rFonts w:hint="eastAsia" w:ascii="宋体" w:hAnsi="宋体"/>
                <w:sz w:val="24"/>
              </w:rPr>
              <w:t>最好，得3分-5分（含）；一般，得1分-3分（含）；较差0分（含）-1分（含）。</w:t>
            </w:r>
          </w:p>
          <w:p>
            <w:pPr>
              <w:numPr>
                <w:ilvl w:val="0"/>
                <w:numId w:val="6"/>
              </w:numPr>
              <w:spacing w:line="360" w:lineRule="auto"/>
              <w:jc w:val="left"/>
              <w:rPr>
                <w:rFonts w:hint="eastAsia" w:ascii="宋体" w:hAnsi="宋体"/>
                <w:color w:val="auto"/>
                <w:sz w:val="24"/>
              </w:rPr>
            </w:pPr>
            <w:r>
              <w:rPr>
                <w:rFonts w:hint="eastAsia" w:ascii="宋体" w:hAnsi="宋体"/>
                <w:color w:val="auto"/>
                <w:sz w:val="24"/>
              </w:rPr>
              <w:t>根据各供应商提供的</w:t>
            </w:r>
            <w:r>
              <w:rPr>
                <w:rFonts w:hint="eastAsia" w:ascii="宋体" w:hAnsi="宋体"/>
                <w:b/>
                <w:bCs/>
                <w:color w:val="auto"/>
                <w:sz w:val="24"/>
                <w:lang w:val="en-US" w:eastAsia="zh-CN"/>
              </w:rPr>
              <w:t>应急服务方案</w:t>
            </w:r>
            <w:r>
              <w:rPr>
                <w:rFonts w:hint="eastAsia" w:ascii="宋体" w:hAnsi="宋体"/>
                <w:color w:val="auto"/>
                <w:sz w:val="24"/>
                <w:lang w:val="en-US" w:eastAsia="zh-CN"/>
              </w:rPr>
              <w:t>（包括</w:t>
            </w:r>
            <w:r>
              <w:rPr>
                <w:rFonts w:hint="eastAsia" w:ascii="宋体" w:hAnsi="宋体"/>
                <w:color w:val="auto"/>
                <w:sz w:val="24"/>
              </w:rPr>
              <w:t>突发情况处理措施</w:t>
            </w:r>
            <w:r>
              <w:rPr>
                <w:rFonts w:hint="eastAsia" w:ascii="宋体" w:hAnsi="宋体"/>
                <w:color w:val="auto"/>
                <w:sz w:val="24"/>
                <w:lang w:eastAsia="zh-CN"/>
              </w:rPr>
              <w:t>、</w:t>
            </w:r>
            <w:r>
              <w:rPr>
                <w:rFonts w:hint="eastAsia" w:ascii="宋体" w:hAnsi="宋体"/>
                <w:color w:val="auto"/>
                <w:sz w:val="24"/>
              </w:rPr>
              <w:t>响应及时性</w:t>
            </w:r>
            <w:r>
              <w:rPr>
                <w:rFonts w:hint="eastAsia" w:ascii="宋体" w:hAnsi="宋体"/>
                <w:color w:val="auto"/>
                <w:sz w:val="24"/>
                <w:lang w:val="en-US" w:eastAsia="zh-CN"/>
              </w:rPr>
              <w:t>等）的</w:t>
            </w:r>
            <w:r>
              <w:rPr>
                <w:rFonts w:hint="eastAsia" w:ascii="宋体" w:hAnsi="宋体" w:eastAsia="宋体" w:cs="Times New Roman"/>
                <w:kern w:val="2"/>
                <w:sz w:val="24"/>
                <w:szCs w:val="24"/>
                <w:lang w:val="en-US" w:eastAsia="zh-CN" w:bidi="ar-SA"/>
              </w:rPr>
              <w:t>完整性、合理性、科学性</w:t>
            </w:r>
            <w:r>
              <w:rPr>
                <w:rFonts w:hint="eastAsia" w:ascii="宋体" w:hAnsi="宋体"/>
                <w:color w:val="auto"/>
                <w:sz w:val="24"/>
                <w:lang w:val="en-US" w:eastAsia="zh-CN"/>
              </w:rPr>
              <w:t>进行评分</w:t>
            </w:r>
            <w:r>
              <w:rPr>
                <w:rFonts w:hint="eastAsia" w:ascii="宋体" w:hAnsi="宋体"/>
                <w:color w:val="auto"/>
                <w:sz w:val="24"/>
              </w:rPr>
              <w:t>。</w:t>
            </w:r>
          </w:p>
          <w:p>
            <w:pPr>
              <w:numPr>
                <w:ilvl w:val="0"/>
                <w:numId w:val="0"/>
              </w:numPr>
              <w:spacing w:line="360" w:lineRule="auto"/>
              <w:jc w:val="left"/>
              <w:rPr>
                <w:rFonts w:hint="eastAsia" w:ascii="宋体" w:hAnsi="宋体"/>
                <w:color w:val="auto"/>
                <w:sz w:val="24"/>
              </w:rPr>
            </w:pPr>
            <w:r>
              <w:rPr>
                <w:rFonts w:hint="eastAsia" w:ascii="宋体" w:hAnsi="宋体"/>
                <w:sz w:val="24"/>
              </w:rPr>
              <w:t>最好，得3分-5分（含）；一般，得1分-3分（含）；较差0分（含）-1分（含）。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913" w:type="pct"/>
            <w:noWrap w:val="0"/>
            <w:vAlign w:val="top"/>
          </w:tcPr>
          <w:p>
            <w:pPr>
              <w:spacing w:line="360" w:lineRule="auto"/>
              <w:ind w:left="-91"/>
              <w:jc w:val="left"/>
              <w:rPr>
                <w:rFonts w:hint="default" w:ascii="宋体" w:hAnsi="宋体" w:eastAsia="宋体"/>
                <w:color w:val="auto"/>
                <w:sz w:val="24"/>
                <w:lang w:val="en-US" w:eastAsia="zh-CN"/>
              </w:rPr>
            </w:pPr>
            <w:r>
              <w:rPr>
                <w:rFonts w:hint="eastAsia" w:ascii="宋体" w:hAnsi="宋体"/>
                <w:color w:val="auto"/>
                <w:sz w:val="24"/>
              </w:rPr>
              <w:t>3、</w:t>
            </w:r>
            <w:r>
              <w:rPr>
                <w:rFonts w:hint="eastAsia" w:ascii="宋体" w:hAnsi="宋体"/>
                <w:color w:val="auto"/>
                <w:sz w:val="24"/>
                <w:lang w:val="en-US" w:eastAsia="zh-CN"/>
              </w:rPr>
              <w:t>服务人员</w:t>
            </w:r>
          </w:p>
        </w:tc>
        <w:tc>
          <w:tcPr>
            <w:tcW w:w="498" w:type="pct"/>
            <w:noWrap w:val="0"/>
            <w:vAlign w:val="top"/>
          </w:tcPr>
          <w:p>
            <w:pPr>
              <w:spacing w:line="360" w:lineRule="auto"/>
              <w:ind w:left="-91"/>
              <w:jc w:val="center"/>
              <w:rPr>
                <w:rFonts w:hint="eastAsia" w:ascii="宋体" w:hAnsi="宋体"/>
                <w:color w:val="auto"/>
                <w:sz w:val="24"/>
              </w:rPr>
            </w:pPr>
            <w:r>
              <w:rPr>
                <w:rFonts w:hint="eastAsia" w:ascii="宋体" w:hAnsi="宋体"/>
                <w:color w:val="auto"/>
                <w:sz w:val="24"/>
                <w:lang w:val="en-US" w:eastAsia="zh-CN"/>
              </w:rPr>
              <w:t>10</w:t>
            </w:r>
            <w:r>
              <w:rPr>
                <w:rFonts w:hint="eastAsia" w:ascii="宋体" w:hAnsi="宋体"/>
                <w:color w:val="auto"/>
                <w:sz w:val="24"/>
              </w:rPr>
              <w:t>分</w:t>
            </w:r>
          </w:p>
        </w:tc>
        <w:tc>
          <w:tcPr>
            <w:tcW w:w="3588" w:type="pct"/>
            <w:noWrap w:val="0"/>
            <w:vAlign w:val="center"/>
          </w:tcPr>
          <w:p>
            <w:pPr>
              <w:spacing w:line="360" w:lineRule="auto"/>
              <w:jc w:val="left"/>
              <w:rPr>
                <w:rFonts w:hint="eastAsia" w:ascii="宋体" w:hAnsi="宋体" w:cs="宋体"/>
                <w:color w:val="auto"/>
                <w:sz w:val="24"/>
              </w:rPr>
            </w:pPr>
            <w:r>
              <w:rPr>
                <w:rFonts w:hint="eastAsia" w:ascii="宋体" w:hAnsi="宋体" w:cs="宋体"/>
                <w:color w:val="auto"/>
                <w:sz w:val="24"/>
              </w:rPr>
              <w:t>在满足招标人服务要求及标准的前提下，比较各</w:t>
            </w:r>
            <w:r>
              <w:rPr>
                <w:rFonts w:hint="eastAsia" w:ascii="宋体" w:hAnsi="宋体" w:cs="宋体"/>
                <w:color w:val="auto"/>
                <w:sz w:val="24"/>
                <w:lang w:val="en-US" w:eastAsia="zh-CN"/>
              </w:rPr>
              <w:t>投标人</w:t>
            </w:r>
            <w:r>
              <w:rPr>
                <w:rFonts w:hint="eastAsia" w:ascii="宋体" w:hAnsi="宋体" w:cs="宋体"/>
                <w:color w:val="auto"/>
                <w:sz w:val="24"/>
              </w:rPr>
              <w:t>的服务人员情况，包括但不限于学历、所获资质、经验。（提供服务团队的姓名、职务及联系方式、岗位职责相关等证明材料）</w:t>
            </w:r>
          </w:p>
          <w:p>
            <w:pPr>
              <w:spacing w:line="360" w:lineRule="auto"/>
              <w:jc w:val="left"/>
              <w:rPr>
                <w:rFonts w:hint="eastAsia" w:ascii="宋体" w:hAnsi="宋体" w:cs="宋体"/>
                <w:color w:val="auto"/>
                <w:sz w:val="24"/>
              </w:rPr>
            </w:pPr>
            <w:r>
              <w:rPr>
                <w:rFonts w:hint="eastAsia" w:ascii="宋体" w:hAnsi="宋体" w:cs="宋体"/>
                <w:color w:val="auto"/>
                <w:sz w:val="24"/>
              </w:rPr>
              <w:t>最好，得7分-10分（含）；一般，得3分-7分（含）；较差，得0分（含）-3分（含）。</w:t>
            </w:r>
          </w:p>
        </w:tc>
      </w:tr>
    </w:tbl>
    <w:p>
      <w:pPr>
        <w:pStyle w:val="23"/>
        <w:numPr>
          <w:ilvl w:val="0"/>
          <w:numId w:val="2"/>
        </w:numPr>
        <w:autoSpaceDE w:val="0"/>
        <w:autoSpaceDN w:val="0"/>
        <w:spacing w:line="360" w:lineRule="exact"/>
        <w:jc w:val="left"/>
        <w:rPr>
          <w:rFonts w:ascii="宋体" w:hAnsi="宋体" w:cs="宋体"/>
          <w:sz w:val="24"/>
        </w:rPr>
      </w:pPr>
      <w:r>
        <w:rPr>
          <w:rFonts w:hint="eastAsia" w:ascii="宋体" w:hAnsi="宋体" w:eastAsia="宋体" w:cs="宋体"/>
          <w:b/>
          <w:sz w:val="24"/>
          <w:szCs w:val="24"/>
        </w:rPr>
        <w:t>付款方式</w:t>
      </w:r>
    </w:p>
    <w:p>
      <w:pPr>
        <w:widowControl/>
        <w:numPr>
          <w:ilvl w:val="0"/>
          <w:numId w:val="0"/>
        </w:numPr>
        <w:tabs>
          <w:tab w:val="left" w:pos="900"/>
          <w:tab w:val="left" w:pos="1276"/>
          <w:tab w:val="left" w:pos="1985"/>
        </w:tabs>
        <w:spacing w:line="380" w:lineRule="exact"/>
        <w:ind w:left="420" w:leftChars="0"/>
        <w:rPr>
          <w:rFonts w:ascii="宋体" w:hAnsi="宋体" w:cs="宋体"/>
          <w:sz w:val="24"/>
        </w:rPr>
      </w:pPr>
      <w:r>
        <w:rPr>
          <w:rFonts w:hint="eastAsia" w:ascii="宋体" w:hAnsi="宋体" w:cs="宋体"/>
          <w:sz w:val="24"/>
        </w:rPr>
        <w:t>按批次完成一日游活动的参加人数结算，乙方开具正式发票,甲方收到发票后1个月内支付。</w:t>
      </w: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华文仿宋" w:hAnsi="华文仿宋" w:cs="华文仿宋"/>
        </w:rPr>
      </w:pPr>
    </w:p>
    <w:p>
      <w:pPr>
        <w:pStyle w:val="22"/>
        <w:numPr>
          <w:ilvl w:val="0"/>
          <w:numId w:val="7"/>
        </w:numPr>
        <w:rPr>
          <w:rFonts w:ascii="华文仿宋" w:hAnsi="华文仿宋" w:cs="华文仿宋"/>
        </w:rPr>
      </w:pPr>
      <w:r>
        <w:rPr>
          <w:rFonts w:hint="eastAsia" w:ascii="华文仿宋" w:hAnsi="华文仿宋" w:cs="华文仿宋"/>
          <w:lang w:val="en-US" w:eastAsia="zh-CN"/>
        </w:rPr>
        <w:t>技术参数与要求</w:t>
      </w: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spacing w:line="480" w:lineRule="auto"/>
        <w:jc w:val="center"/>
        <w:rPr>
          <w:rFonts w:ascii="宋体" w:hAnsi="宋体" w:cs="宋体"/>
          <w:b/>
          <w:sz w:val="28"/>
          <w:szCs w:val="28"/>
        </w:rPr>
      </w:pPr>
      <w:r>
        <w:rPr>
          <w:rFonts w:hint="eastAsia" w:ascii="宋体" w:hAnsi="宋体" w:cs="宋体"/>
          <w:sz w:val="24"/>
        </w:rPr>
        <w:br w:type="page"/>
      </w:r>
      <w:r>
        <w:rPr>
          <w:rFonts w:hint="eastAsia" w:ascii="宋体" w:hAnsi="宋体" w:cs="宋体"/>
          <w:b/>
          <w:sz w:val="28"/>
          <w:szCs w:val="28"/>
        </w:rPr>
        <w:t>技术参数与要求</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一、项目名称：上海市儿童医院工会委员会职工"看上海"一日游活动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二、交货期：收到采购人通知后5天内交付</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三、交货地点：买方指定地点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四、服务期限及供货说明：本项目入围1家供应商，服务</w:t>
      </w:r>
      <w:r>
        <w:rPr>
          <w:rFonts w:hint="eastAsia" w:ascii="宋体" w:hAnsi="宋体" w:eastAsia="宋体" w:cs="宋体"/>
          <w:i w:val="0"/>
          <w:iCs w:val="0"/>
          <w:caps w:val="0"/>
          <w:color w:val="auto"/>
          <w:spacing w:val="0"/>
          <w:sz w:val="24"/>
          <w:szCs w:val="24"/>
          <w:shd w:val="clear" w:fill="FFFFFF"/>
          <w:lang w:val="en-US" w:eastAsia="zh-CN"/>
        </w:rPr>
        <w:t>期1年</w:t>
      </w:r>
      <w:r>
        <w:rPr>
          <w:rFonts w:hint="eastAsia" w:ascii="宋体" w:hAnsi="宋体" w:eastAsia="宋体" w:cs="宋体"/>
          <w:i w:val="0"/>
          <w:iCs w:val="0"/>
          <w:caps w:val="0"/>
          <w:color w:val="auto"/>
          <w:spacing w:val="0"/>
          <w:sz w:val="24"/>
          <w:szCs w:val="24"/>
          <w:shd w:val="clear" w:fill="FFFFFF"/>
        </w:rPr>
        <w:t>。具体时间以合同签订日期为准。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五、服务内容及要求：</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1、服务要求：投标方须根据买方要求分别提供商品报价及服务方案。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2、本项目预估服务人数500人，服务标准不超过300元/人（其中餐费不超过总支出的50%），最终按实际参与人数金额结算。</w:t>
      </w:r>
    </w:p>
    <w:tbl>
      <w:tblPr>
        <w:tblStyle w:val="15"/>
        <w:tblW w:w="901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75"/>
        <w:gridCol w:w="2967"/>
        <w:gridCol w:w="517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6"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b/>
                <w:bCs/>
                <w:color w:val="auto"/>
                <w:sz w:val="24"/>
                <w:szCs w:val="24"/>
              </w:rPr>
              <w:t>序号</w:t>
            </w:r>
          </w:p>
        </w:tc>
        <w:tc>
          <w:tcPr>
            <w:tcW w:w="29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b/>
                <w:bCs/>
                <w:color w:val="auto"/>
                <w:sz w:val="24"/>
                <w:szCs w:val="24"/>
              </w:rPr>
              <w:t>旅游地点</w:t>
            </w:r>
          </w:p>
        </w:tc>
        <w:tc>
          <w:tcPr>
            <w:tcW w:w="51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b/>
                <w:bCs/>
                <w:color w:val="auto"/>
                <w:sz w:val="24"/>
                <w:szCs w:val="24"/>
              </w:rPr>
              <w:t>服务内容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05"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4"/>
                <w:szCs w:val="24"/>
              </w:rPr>
              <w:t>1</w:t>
            </w:r>
          </w:p>
        </w:tc>
        <w:tc>
          <w:tcPr>
            <w:tcW w:w="29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西沙明珠湖+荷花博览园</w:t>
            </w:r>
          </w:p>
        </w:tc>
        <w:tc>
          <w:tcPr>
            <w:tcW w:w="51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明珠湖门票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博览园门票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午餐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往返交通费、保险、服务费及饮用水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18"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29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4"/>
                <w:szCs w:val="24"/>
                <w:lang w:val="en-US" w:eastAsia="zh-CN"/>
              </w:rPr>
              <w:t>青浦东方绿洲</w:t>
            </w:r>
            <w:r>
              <w:rPr>
                <w:rFonts w:hint="eastAsia" w:ascii="宋体" w:hAnsi="宋体" w:eastAsia="宋体" w:cs="宋体"/>
                <w:color w:val="auto"/>
                <w:sz w:val="24"/>
                <w:szCs w:val="24"/>
              </w:rPr>
              <w:t>+朱家角古镇</w:t>
            </w:r>
            <w:r>
              <w:rPr>
                <w:rFonts w:hint="eastAsia" w:ascii="宋体" w:hAnsi="宋体" w:eastAsia="宋体" w:cs="宋体"/>
                <w:color w:val="auto"/>
                <w:sz w:val="24"/>
                <w:szCs w:val="24"/>
                <w:lang w:val="en-US" w:eastAsia="zh-CN"/>
              </w:rPr>
              <w:t>/陈云故居</w:t>
            </w:r>
          </w:p>
        </w:tc>
        <w:tc>
          <w:tcPr>
            <w:tcW w:w="51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东方绿洲门票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1"/>
                <w:szCs w:val="21"/>
              </w:rPr>
            </w:pPr>
            <w:r>
              <w:rPr>
                <w:rFonts w:hint="eastAsia" w:ascii="宋体" w:hAnsi="宋体" w:eastAsia="宋体" w:cs="宋体"/>
                <w:color w:val="auto"/>
                <w:sz w:val="24"/>
                <w:szCs w:val="24"/>
              </w:rPr>
              <w:t>午餐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1"/>
                <w:szCs w:val="21"/>
              </w:rPr>
            </w:pPr>
            <w:r>
              <w:rPr>
                <w:rFonts w:hint="eastAsia" w:ascii="宋体" w:hAnsi="宋体" w:eastAsia="宋体" w:cs="宋体"/>
                <w:color w:val="auto"/>
                <w:sz w:val="24"/>
                <w:szCs w:val="24"/>
              </w:rPr>
              <w:t>朱家角古镇</w:t>
            </w:r>
            <w:r>
              <w:rPr>
                <w:rFonts w:hint="eastAsia" w:ascii="宋体" w:hAnsi="宋体" w:eastAsia="宋体" w:cs="宋体"/>
                <w:color w:val="auto"/>
                <w:sz w:val="24"/>
                <w:szCs w:val="24"/>
                <w:lang w:val="en-US" w:eastAsia="zh-CN"/>
              </w:rPr>
              <w:t>/陈云故居</w:t>
            </w:r>
            <w:r>
              <w:rPr>
                <w:rFonts w:hint="eastAsia" w:ascii="宋体" w:hAnsi="宋体" w:eastAsia="宋体" w:cs="宋体"/>
                <w:color w:val="auto"/>
                <w:sz w:val="24"/>
                <w:szCs w:val="24"/>
              </w:rPr>
              <w:t>门票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4"/>
                <w:szCs w:val="24"/>
              </w:rPr>
              <w:t>往返交通费、保险、服务费及饮用水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18"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4"/>
                <w:szCs w:val="24"/>
                <w:lang w:val="en-US" w:eastAsia="zh-CN"/>
              </w:rPr>
              <w:t>3</w:t>
            </w:r>
          </w:p>
        </w:tc>
        <w:tc>
          <w:tcPr>
            <w:tcW w:w="29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青西郊野公园+上海崧泽遗址博物馆</w:t>
            </w:r>
          </w:p>
        </w:tc>
        <w:tc>
          <w:tcPr>
            <w:tcW w:w="51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公园门票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博物馆门票+讲解</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往返交通费、保险、服务费及饮用水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05"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29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辰山植物园+泰晤士小镇</w:t>
            </w:r>
          </w:p>
        </w:tc>
        <w:tc>
          <w:tcPr>
            <w:tcW w:w="51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辰山植物园门票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松江特色午餐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泰晤士小镇门票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往返交通费、保险、服务费及饮用水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48"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4"/>
                <w:szCs w:val="24"/>
                <w:lang w:val="en-US" w:eastAsia="zh-CN"/>
              </w:rPr>
              <w:t>5</w:t>
            </w:r>
          </w:p>
        </w:tc>
        <w:tc>
          <w:tcPr>
            <w:tcW w:w="29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金山花开海上生态园+枫泾古镇</w:t>
            </w:r>
          </w:p>
        </w:tc>
        <w:tc>
          <w:tcPr>
            <w:tcW w:w="51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所有门票、午餐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往返交通费、保险、服务费及饮用水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48"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4"/>
                <w:szCs w:val="24"/>
                <w:lang w:val="en-US" w:eastAsia="zh-CN"/>
              </w:rPr>
              <w:t>6</w:t>
            </w:r>
          </w:p>
        </w:tc>
        <w:tc>
          <w:tcPr>
            <w:tcW w:w="29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金山嘴渔村+金山城市沙滩</w:t>
            </w:r>
          </w:p>
        </w:tc>
        <w:tc>
          <w:tcPr>
            <w:tcW w:w="51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所有门票、午餐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往返交通费、保险、服务费及饮用水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3"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29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临港滴水湖/奉贤上海之鱼+清溪古镇/海湾国家森林公园</w:t>
            </w:r>
          </w:p>
        </w:tc>
        <w:tc>
          <w:tcPr>
            <w:tcW w:w="51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相关门票、午餐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往返交通费、保险、服务费及饮用水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47"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29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一大会址+浦江游览</w:t>
            </w:r>
          </w:p>
        </w:tc>
        <w:tc>
          <w:tcPr>
            <w:tcW w:w="51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一大会址门票+团队预约+讲解</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船票、午餐/晚餐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往返交通费、保险、服务费及饮用水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05"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p>
        </w:tc>
        <w:tc>
          <w:tcPr>
            <w:tcW w:w="29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松江广富林+佘山国家森林公园</w:t>
            </w:r>
          </w:p>
        </w:tc>
        <w:tc>
          <w:tcPr>
            <w:tcW w:w="51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广富林门票、午餐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往返交通费、保险、服务费及饮用水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48"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10</w:t>
            </w:r>
          </w:p>
        </w:tc>
        <w:tc>
          <w:tcPr>
            <w:tcW w:w="29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上海野生动物园</w:t>
            </w:r>
          </w:p>
        </w:tc>
        <w:tc>
          <w:tcPr>
            <w:tcW w:w="51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动物园门票、午餐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往返交通费、保险、服务费及饮用水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10"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11</w:t>
            </w:r>
          </w:p>
        </w:tc>
        <w:tc>
          <w:tcPr>
            <w:tcW w:w="29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上海动物园</w:t>
            </w:r>
          </w:p>
        </w:tc>
        <w:tc>
          <w:tcPr>
            <w:tcW w:w="51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动物园门票、午餐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往返交通费、保险、服务费及饮用水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3"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4"/>
                <w:szCs w:val="24"/>
                <w:lang w:val="en-US" w:eastAsia="zh-CN"/>
              </w:rPr>
              <w:t>12</w:t>
            </w:r>
          </w:p>
        </w:tc>
        <w:tc>
          <w:tcPr>
            <w:tcW w:w="29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兔窝窝+迪士尼小镇</w:t>
            </w:r>
          </w:p>
        </w:tc>
        <w:tc>
          <w:tcPr>
            <w:tcW w:w="51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兔窝窝门票、午餐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往返交通费、保险、服务费及饮用水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3"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13</w:t>
            </w:r>
          </w:p>
        </w:tc>
        <w:tc>
          <w:tcPr>
            <w:tcW w:w="29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薰衣草公园+比斯特购物村</w:t>
            </w:r>
          </w:p>
        </w:tc>
        <w:tc>
          <w:tcPr>
            <w:tcW w:w="51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公园门票、午餐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往返交通费、保险、服务费及饮用水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3"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14</w:t>
            </w:r>
          </w:p>
        </w:tc>
        <w:tc>
          <w:tcPr>
            <w:tcW w:w="29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上海海湾国家森林公园</w:t>
            </w:r>
          </w:p>
        </w:tc>
        <w:tc>
          <w:tcPr>
            <w:tcW w:w="51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公园门票、午餐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rPr>
              <w:t>往返交通费、保险、服务费及饮用水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3"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15</w:t>
            </w:r>
          </w:p>
        </w:tc>
        <w:tc>
          <w:tcPr>
            <w:tcW w:w="29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上海共青森林公园</w:t>
            </w:r>
          </w:p>
        </w:tc>
        <w:tc>
          <w:tcPr>
            <w:tcW w:w="51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公园门票、午餐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rPr>
              <w:t>往返交通费、保险、服务费及饮用水</w:t>
            </w:r>
          </w:p>
        </w:tc>
      </w:tr>
    </w:tbl>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3、除上述线路外，投标人须根据上海市总工会或上海市医务工会文件要求开展一日游活动，按照文件内的线路和定价执行。</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4、除上述旅游地点和服务内容外，可根据业内热门景点进行推荐并报价作为参考，内容包括：门票、午餐、往返交通费、保险、服务费及饮用水费用。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5、资料准备：投标人须提供国家旅游局颁发的有效《旅行社业务经营许可证》（许可经营业务具有国内旅游业务）、公司（企业）营业执照、法人代表授权书、报价单、“信用中国”查询截图及其他一切有效证书的复印件，加盖公司公章。</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7、★投标人须明确本项目具</w:t>
      </w:r>
      <w:r>
        <w:rPr>
          <w:rFonts w:hint="eastAsia" w:ascii="宋体" w:hAnsi="宋体" w:eastAsia="宋体" w:cs="宋体"/>
          <w:i w:val="0"/>
          <w:iCs w:val="0"/>
          <w:caps w:val="0"/>
          <w:color w:val="auto"/>
          <w:spacing w:val="0"/>
          <w:sz w:val="24"/>
          <w:szCs w:val="24"/>
          <w:highlight w:val="none"/>
          <w:shd w:val="clear" w:fill="FFFFFF"/>
          <w:lang w:val="en-US" w:eastAsia="zh-CN"/>
        </w:rPr>
        <w:t>体</w:t>
      </w:r>
      <w:r>
        <w:rPr>
          <w:rFonts w:hint="eastAsia" w:ascii="宋体" w:hAnsi="宋体" w:cs="宋体"/>
          <w:i w:val="0"/>
          <w:iCs w:val="0"/>
          <w:caps w:val="0"/>
          <w:color w:val="auto"/>
          <w:spacing w:val="0"/>
          <w:sz w:val="24"/>
          <w:szCs w:val="24"/>
          <w:highlight w:val="none"/>
          <w:shd w:val="clear" w:fill="FFFFFF"/>
          <w:lang w:val="en-US" w:eastAsia="zh-CN"/>
        </w:rPr>
        <w:t>负责</w:t>
      </w:r>
      <w:r>
        <w:rPr>
          <w:rFonts w:hint="eastAsia" w:ascii="宋体" w:hAnsi="宋体" w:eastAsia="宋体" w:cs="宋体"/>
          <w:i w:val="0"/>
          <w:iCs w:val="0"/>
          <w:caps w:val="0"/>
          <w:color w:val="auto"/>
          <w:spacing w:val="0"/>
          <w:sz w:val="24"/>
          <w:szCs w:val="24"/>
          <w:highlight w:val="none"/>
          <w:shd w:val="clear" w:fill="FFFFFF"/>
          <w:lang w:val="en-US" w:eastAsia="zh-CN"/>
        </w:rPr>
        <w:t>人</w:t>
      </w:r>
      <w:r>
        <w:rPr>
          <w:rFonts w:hint="eastAsia" w:ascii="宋体" w:hAnsi="宋体" w:eastAsia="宋体" w:cs="宋体"/>
          <w:i w:val="0"/>
          <w:iCs w:val="0"/>
          <w:caps w:val="0"/>
          <w:color w:val="auto"/>
          <w:spacing w:val="0"/>
          <w:sz w:val="24"/>
          <w:szCs w:val="24"/>
          <w:shd w:val="clear" w:fill="FFFFFF"/>
          <w:lang w:val="en-US" w:eastAsia="zh-CN"/>
        </w:rPr>
        <w:t>，无故不得中途调整，并承诺每批安排随行导游、驾驶员各一名，其有关费用含入投标报价，采购人不再承担本项目的任何额外费用。随行导游必须具备国家规定的导游证，随行驾驶员必须具备国家规定的驾驶证。</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8、在投标文件中须明确上述要求的一日游服务方案，根据服务内容提供服务具体流程、用时、用车说明、用餐说明（明确餐厅及菜单，可备2-3个选项），保险费用说明以及其他服务说明。明确采购人不再承担本项目的任何额外费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9、投标人按院方要求提供接送服务，团队出发上车即视作旅行开始，期间一切责任均由投标人承担，包括路途安全、食品卫生、误点、误餐等，直到返回原地为止。投标人需明确针对本项目所提供的售后服务，包括活动中造成的意外伤害以及临时变更地点及用餐标准等。</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10、投标人需承诺近三年内没有骗取中标和严重违法、违约及重大产品质量问题。因供应商所提供的产品质量问题造成采购方员工安全问题，投标人负全责。</w:t>
      </w: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华文仿宋" w:hAnsi="华文仿宋" w:cs="华文仿宋"/>
        </w:rPr>
      </w:pPr>
      <w:r>
        <w:rPr>
          <w:rFonts w:hint="eastAsia" w:ascii="华文仿宋" w:hAnsi="华文仿宋" w:cs="华文仿宋"/>
          <w:lang w:val="en-US" w:eastAsia="zh-CN"/>
        </w:rPr>
        <w:t xml:space="preserve">第三章 </w:t>
      </w:r>
      <w:r>
        <w:rPr>
          <w:rFonts w:hint="eastAsia" w:ascii="华文仿宋" w:hAnsi="华文仿宋" w:cs="华文仿宋"/>
        </w:rPr>
        <w:t>附件</w:t>
      </w: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jc w:val="left"/>
        <w:rPr>
          <w:rFonts w:ascii="宋体" w:hAnsi="宋体" w:cs="宋体"/>
          <w:sz w:val="24"/>
        </w:rPr>
      </w:pPr>
      <w:r>
        <w:rPr>
          <w:rFonts w:hint="eastAsia" w:ascii="宋体" w:hAnsi="宋体" w:cs="宋体"/>
          <w:sz w:val="24"/>
        </w:rPr>
        <w:br w:type="page"/>
      </w:r>
      <w:r>
        <w:rPr>
          <w:rFonts w:hint="eastAsia" w:ascii="宋体" w:hAnsi="宋体" w:cs="宋体"/>
          <w:sz w:val="24"/>
        </w:rPr>
        <w:t>附件1：报价一览表</w:t>
      </w:r>
    </w:p>
    <w:p>
      <w:pPr>
        <w:autoSpaceDE w:val="0"/>
        <w:autoSpaceDN w:val="0"/>
        <w:adjustRightInd w:val="0"/>
        <w:snapToGrid w:val="0"/>
        <w:spacing w:line="360" w:lineRule="auto"/>
        <w:jc w:val="center"/>
        <w:outlineLvl w:val="1"/>
        <w:rPr>
          <w:rFonts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autoSpaceDE w:val="0"/>
        <w:autoSpaceDN w:val="0"/>
        <w:adjustRightInd w:val="0"/>
        <w:snapToGrid w:val="0"/>
        <w:spacing w:line="360" w:lineRule="auto"/>
        <w:jc w:val="left"/>
        <w:outlineLvl w:val="1"/>
        <w:rPr>
          <w:rFonts w:hint="default" w:ascii="宋体" w:eastAsia="宋体"/>
          <w:sz w:val="24"/>
          <w:lang w:val="en-US" w:eastAsia="zh-CN"/>
        </w:rPr>
      </w:pPr>
      <w:r>
        <w:rPr>
          <w:rFonts w:hint="eastAsia" w:ascii="宋体"/>
          <w:sz w:val="24"/>
        </w:rPr>
        <w:t xml:space="preserve">   遴选编号</w:t>
      </w:r>
      <w:r>
        <w:rPr>
          <w:rFonts w:ascii="宋体"/>
          <w:sz w:val="24"/>
        </w:rPr>
        <w:t>:</w:t>
      </w:r>
      <w:r>
        <w:t xml:space="preserve"> </w:t>
      </w:r>
      <w:r>
        <w:rPr>
          <w:rFonts w:hint="eastAsia" w:ascii="宋体"/>
          <w:sz w:val="24"/>
          <w:u w:val="single"/>
        </w:rPr>
        <w:t>2023-ETLXGH-001</w:t>
      </w:r>
      <w:r>
        <w:rPr>
          <w:rFonts w:hint="eastAsia" w:ascii="宋体"/>
          <w:sz w:val="24"/>
          <w:u w:val="single"/>
          <w:lang w:eastAsia="zh-CN"/>
        </w:rPr>
        <w:t>（</w:t>
      </w:r>
      <w:r>
        <w:rPr>
          <w:rFonts w:hint="eastAsia" w:ascii="宋体"/>
          <w:sz w:val="24"/>
          <w:u w:val="single"/>
          <w:lang w:val="en-US" w:eastAsia="zh-CN"/>
        </w:rPr>
        <w:t>第二次）</w:t>
      </w:r>
    </w:p>
    <w:p>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pPr>
        <w:spacing w:line="360" w:lineRule="auto"/>
        <w:ind w:firstLine="360" w:firstLineChars="150"/>
        <w:rPr>
          <w:rFonts w:ascii="宋体"/>
          <w:sz w:val="24"/>
        </w:rPr>
      </w:pPr>
      <w:r>
        <w:rPr>
          <w:rFonts w:hint="eastAsia" w:ascii="宋体"/>
          <w:sz w:val="24"/>
        </w:rPr>
        <w:t>报价明细：</w:t>
      </w:r>
    </w:p>
    <w:tbl>
      <w:tblPr>
        <w:tblStyle w:val="15"/>
        <w:tblW w:w="907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63"/>
        <w:gridCol w:w="2159"/>
        <w:gridCol w:w="4149"/>
        <w:gridCol w:w="1041"/>
        <w:gridCol w:w="106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37"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b/>
                <w:bCs/>
                <w:color w:val="auto"/>
                <w:sz w:val="24"/>
                <w:szCs w:val="24"/>
              </w:rPr>
              <w:t>序号</w:t>
            </w:r>
          </w:p>
        </w:tc>
        <w:tc>
          <w:tcPr>
            <w:tcW w:w="215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b/>
                <w:bCs/>
                <w:color w:val="auto"/>
                <w:sz w:val="24"/>
                <w:szCs w:val="24"/>
              </w:rPr>
              <w:t>旅游地点</w:t>
            </w:r>
          </w:p>
        </w:tc>
        <w:tc>
          <w:tcPr>
            <w:tcW w:w="414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b/>
                <w:bCs/>
                <w:color w:val="auto"/>
                <w:sz w:val="24"/>
                <w:szCs w:val="24"/>
              </w:rPr>
              <w:t>服务内容</w:t>
            </w:r>
          </w:p>
        </w:tc>
        <w:tc>
          <w:tcPr>
            <w:tcW w:w="104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b/>
                <w:bCs/>
                <w:color w:val="auto"/>
                <w:sz w:val="24"/>
                <w:szCs w:val="24"/>
                <w:lang w:val="en-US" w:eastAsia="zh-CN"/>
              </w:rPr>
              <w:t>50人成团</w:t>
            </w:r>
            <w:r>
              <w:rPr>
                <w:rFonts w:hint="eastAsia" w:ascii="宋体" w:hAnsi="宋体" w:eastAsia="宋体" w:cs="宋体"/>
                <w:b/>
                <w:bCs/>
                <w:color w:val="auto"/>
                <w:sz w:val="24"/>
                <w:szCs w:val="24"/>
              </w:rPr>
              <w:t>报价</w:t>
            </w:r>
          </w:p>
        </w:tc>
        <w:tc>
          <w:tcPr>
            <w:tcW w:w="106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30人成团报价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37"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4"/>
                <w:szCs w:val="24"/>
              </w:rPr>
              <w:t>1</w:t>
            </w:r>
          </w:p>
        </w:tc>
        <w:tc>
          <w:tcPr>
            <w:tcW w:w="215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西沙明珠湖+荷花博览园</w:t>
            </w:r>
          </w:p>
        </w:tc>
        <w:tc>
          <w:tcPr>
            <w:tcW w:w="414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明珠湖门票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博览园门票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午餐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往返交通费、保险、服务费及饮用水</w:t>
            </w:r>
          </w:p>
        </w:tc>
        <w:tc>
          <w:tcPr>
            <w:tcW w:w="104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6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72"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2</w:t>
            </w:r>
          </w:p>
        </w:tc>
        <w:tc>
          <w:tcPr>
            <w:tcW w:w="215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4"/>
                <w:szCs w:val="24"/>
                <w:lang w:val="en-US" w:eastAsia="zh-CN"/>
              </w:rPr>
              <w:t>青浦东方绿洲</w:t>
            </w:r>
            <w:r>
              <w:rPr>
                <w:rFonts w:hint="eastAsia" w:ascii="宋体" w:hAnsi="宋体" w:eastAsia="宋体" w:cs="宋体"/>
                <w:color w:val="auto"/>
                <w:sz w:val="24"/>
                <w:szCs w:val="24"/>
              </w:rPr>
              <w:t>+朱家角古镇</w:t>
            </w:r>
            <w:r>
              <w:rPr>
                <w:rFonts w:hint="eastAsia" w:ascii="宋体" w:hAnsi="宋体" w:eastAsia="宋体" w:cs="宋体"/>
                <w:color w:val="auto"/>
                <w:sz w:val="24"/>
                <w:szCs w:val="24"/>
                <w:lang w:val="en-US" w:eastAsia="zh-CN"/>
              </w:rPr>
              <w:t>/陈云故居</w:t>
            </w:r>
          </w:p>
        </w:tc>
        <w:tc>
          <w:tcPr>
            <w:tcW w:w="414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东方绿洲门票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1"/>
                <w:szCs w:val="21"/>
              </w:rPr>
            </w:pPr>
            <w:r>
              <w:rPr>
                <w:rFonts w:hint="eastAsia" w:ascii="宋体" w:hAnsi="宋体" w:eastAsia="宋体" w:cs="宋体"/>
                <w:color w:val="auto"/>
                <w:sz w:val="24"/>
                <w:szCs w:val="24"/>
              </w:rPr>
              <w:t>午餐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1"/>
                <w:szCs w:val="21"/>
              </w:rPr>
            </w:pPr>
            <w:r>
              <w:rPr>
                <w:rFonts w:hint="eastAsia" w:ascii="宋体" w:hAnsi="宋体" w:eastAsia="宋体" w:cs="宋体"/>
                <w:color w:val="auto"/>
                <w:sz w:val="24"/>
                <w:szCs w:val="24"/>
              </w:rPr>
              <w:t>朱家角古镇</w:t>
            </w:r>
            <w:r>
              <w:rPr>
                <w:rFonts w:hint="eastAsia" w:ascii="宋体" w:hAnsi="宋体" w:eastAsia="宋体" w:cs="宋体"/>
                <w:color w:val="auto"/>
                <w:sz w:val="24"/>
                <w:szCs w:val="24"/>
                <w:lang w:val="en-US" w:eastAsia="zh-CN"/>
              </w:rPr>
              <w:t>/陈云故居</w:t>
            </w:r>
            <w:r>
              <w:rPr>
                <w:rFonts w:hint="eastAsia" w:ascii="宋体" w:hAnsi="宋体" w:eastAsia="宋体" w:cs="宋体"/>
                <w:color w:val="auto"/>
                <w:sz w:val="24"/>
                <w:szCs w:val="24"/>
              </w:rPr>
              <w:t>门票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4"/>
                <w:szCs w:val="24"/>
              </w:rPr>
              <w:t>往返交通费、保险、服务费及饮用水</w:t>
            </w:r>
          </w:p>
        </w:tc>
        <w:tc>
          <w:tcPr>
            <w:tcW w:w="104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1"/>
                <w:szCs w:val="21"/>
              </w:rPr>
            </w:pPr>
          </w:p>
        </w:tc>
        <w:tc>
          <w:tcPr>
            <w:tcW w:w="106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72"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4"/>
                <w:szCs w:val="24"/>
                <w:lang w:val="en-US" w:eastAsia="zh-CN"/>
              </w:rPr>
              <w:t>3</w:t>
            </w:r>
          </w:p>
        </w:tc>
        <w:tc>
          <w:tcPr>
            <w:tcW w:w="215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青西郊野公园+上海崧泽遗址博物馆</w:t>
            </w:r>
          </w:p>
        </w:tc>
        <w:tc>
          <w:tcPr>
            <w:tcW w:w="414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公园门票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博物馆门票+讲解</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往返交通费、保险、服务费及饮用水</w:t>
            </w:r>
          </w:p>
        </w:tc>
        <w:tc>
          <w:tcPr>
            <w:tcW w:w="104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6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37"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4</w:t>
            </w:r>
          </w:p>
        </w:tc>
        <w:tc>
          <w:tcPr>
            <w:tcW w:w="215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辰山植物园+泰晤士小镇</w:t>
            </w:r>
          </w:p>
        </w:tc>
        <w:tc>
          <w:tcPr>
            <w:tcW w:w="414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辰山植物园门票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松江特色午餐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泰晤士小镇门票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往返交通费、保险、服务费及饮用水</w:t>
            </w:r>
          </w:p>
        </w:tc>
        <w:tc>
          <w:tcPr>
            <w:tcW w:w="104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1"/>
                <w:szCs w:val="21"/>
              </w:rPr>
            </w:pPr>
          </w:p>
        </w:tc>
        <w:tc>
          <w:tcPr>
            <w:tcW w:w="106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96"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4"/>
                <w:szCs w:val="24"/>
                <w:lang w:val="en-US" w:eastAsia="zh-CN"/>
              </w:rPr>
              <w:t>5</w:t>
            </w:r>
          </w:p>
        </w:tc>
        <w:tc>
          <w:tcPr>
            <w:tcW w:w="215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金山花开海上生态园+枫泾古镇</w:t>
            </w:r>
          </w:p>
        </w:tc>
        <w:tc>
          <w:tcPr>
            <w:tcW w:w="414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所有门票、午餐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往返交通费、保险、服务费及饮用水</w:t>
            </w:r>
          </w:p>
        </w:tc>
        <w:tc>
          <w:tcPr>
            <w:tcW w:w="104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06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77"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4"/>
                <w:szCs w:val="24"/>
                <w:lang w:val="en-US" w:eastAsia="zh-CN"/>
              </w:rPr>
              <w:t>6</w:t>
            </w:r>
          </w:p>
        </w:tc>
        <w:tc>
          <w:tcPr>
            <w:tcW w:w="215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金山嘴渔村+金山城市沙滩</w:t>
            </w:r>
          </w:p>
        </w:tc>
        <w:tc>
          <w:tcPr>
            <w:tcW w:w="414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所有门票、午餐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往返交通费、保险、服务费及饮用水</w:t>
            </w:r>
          </w:p>
        </w:tc>
        <w:tc>
          <w:tcPr>
            <w:tcW w:w="104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rPr>
            </w:pPr>
          </w:p>
        </w:tc>
        <w:tc>
          <w:tcPr>
            <w:tcW w:w="106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6"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7</w:t>
            </w:r>
          </w:p>
        </w:tc>
        <w:tc>
          <w:tcPr>
            <w:tcW w:w="215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临港滴水湖/奉贤上海之鱼+清溪古镇/海湾国家森林公园</w:t>
            </w:r>
          </w:p>
        </w:tc>
        <w:tc>
          <w:tcPr>
            <w:tcW w:w="414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相关门票、午餐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往返交通费、保险、服务费及饮用水</w:t>
            </w:r>
          </w:p>
        </w:tc>
        <w:tc>
          <w:tcPr>
            <w:tcW w:w="104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rPr>
            </w:pPr>
          </w:p>
        </w:tc>
        <w:tc>
          <w:tcPr>
            <w:tcW w:w="106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615"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8</w:t>
            </w:r>
          </w:p>
        </w:tc>
        <w:tc>
          <w:tcPr>
            <w:tcW w:w="215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一大会址+浦江游览</w:t>
            </w:r>
          </w:p>
        </w:tc>
        <w:tc>
          <w:tcPr>
            <w:tcW w:w="414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一大会址门票+团队预约+讲解</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船票、午餐/晚餐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往返交通费、保险、服务费及饮用水</w:t>
            </w:r>
          </w:p>
        </w:tc>
        <w:tc>
          <w:tcPr>
            <w:tcW w:w="104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rPr>
            </w:pPr>
          </w:p>
        </w:tc>
        <w:tc>
          <w:tcPr>
            <w:tcW w:w="106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72"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sz w:val="24"/>
                <w:szCs w:val="24"/>
                <w:lang w:val="en-US" w:eastAsia="zh-CN"/>
              </w:rPr>
              <w:t>9</w:t>
            </w:r>
          </w:p>
        </w:tc>
        <w:tc>
          <w:tcPr>
            <w:tcW w:w="215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松江广富林+佘山国家森林公园</w:t>
            </w:r>
          </w:p>
        </w:tc>
        <w:tc>
          <w:tcPr>
            <w:tcW w:w="414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广富林门票、午餐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往返交通费、保险、服务费及饮用水</w:t>
            </w:r>
          </w:p>
        </w:tc>
        <w:tc>
          <w:tcPr>
            <w:tcW w:w="104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06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37"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10</w:t>
            </w:r>
          </w:p>
        </w:tc>
        <w:tc>
          <w:tcPr>
            <w:tcW w:w="215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上海野生动物园</w:t>
            </w:r>
          </w:p>
        </w:tc>
        <w:tc>
          <w:tcPr>
            <w:tcW w:w="414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动物园门票、午餐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往返交通费、保险、服务费及饮用水</w:t>
            </w:r>
          </w:p>
        </w:tc>
        <w:tc>
          <w:tcPr>
            <w:tcW w:w="104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rPr>
            </w:pPr>
          </w:p>
        </w:tc>
        <w:tc>
          <w:tcPr>
            <w:tcW w:w="106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77"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11</w:t>
            </w:r>
          </w:p>
        </w:tc>
        <w:tc>
          <w:tcPr>
            <w:tcW w:w="215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上海动物园</w:t>
            </w:r>
          </w:p>
        </w:tc>
        <w:tc>
          <w:tcPr>
            <w:tcW w:w="414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动物园门票、午餐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往返交通费、保险、服务费及饮用水</w:t>
            </w:r>
          </w:p>
        </w:tc>
        <w:tc>
          <w:tcPr>
            <w:tcW w:w="104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rPr>
            </w:pPr>
          </w:p>
        </w:tc>
        <w:tc>
          <w:tcPr>
            <w:tcW w:w="106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37"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4"/>
                <w:szCs w:val="24"/>
                <w:lang w:val="en-US" w:eastAsia="zh-CN"/>
              </w:rPr>
              <w:t>12</w:t>
            </w:r>
          </w:p>
        </w:tc>
        <w:tc>
          <w:tcPr>
            <w:tcW w:w="215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兔窝窝+迪士尼小镇</w:t>
            </w:r>
          </w:p>
        </w:tc>
        <w:tc>
          <w:tcPr>
            <w:tcW w:w="414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兔窝窝门票、午餐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往返交通费、保险、服务费及饮用水</w:t>
            </w:r>
          </w:p>
        </w:tc>
        <w:tc>
          <w:tcPr>
            <w:tcW w:w="104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rPr>
            </w:pPr>
          </w:p>
        </w:tc>
        <w:tc>
          <w:tcPr>
            <w:tcW w:w="106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6"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13</w:t>
            </w:r>
          </w:p>
        </w:tc>
        <w:tc>
          <w:tcPr>
            <w:tcW w:w="215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薰衣草公园+比斯特购物村</w:t>
            </w:r>
          </w:p>
        </w:tc>
        <w:tc>
          <w:tcPr>
            <w:tcW w:w="414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公园门票、午餐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往返交通费、保险、服务费及饮用水</w:t>
            </w:r>
          </w:p>
        </w:tc>
        <w:tc>
          <w:tcPr>
            <w:tcW w:w="104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lang w:val="en-US" w:eastAsia="zh-CN"/>
              </w:rPr>
            </w:pPr>
          </w:p>
        </w:tc>
        <w:tc>
          <w:tcPr>
            <w:tcW w:w="106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6"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14</w:t>
            </w:r>
          </w:p>
        </w:tc>
        <w:tc>
          <w:tcPr>
            <w:tcW w:w="215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上海海湾国家森林公园</w:t>
            </w:r>
          </w:p>
        </w:tc>
        <w:tc>
          <w:tcPr>
            <w:tcW w:w="414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公园门票、午餐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rPr>
              <w:t>往返交通费、保险、服务费及饮用水</w:t>
            </w:r>
          </w:p>
        </w:tc>
        <w:tc>
          <w:tcPr>
            <w:tcW w:w="104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
              </w:rPr>
            </w:pPr>
          </w:p>
        </w:tc>
        <w:tc>
          <w:tcPr>
            <w:tcW w:w="106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6"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15</w:t>
            </w:r>
          </w:p>
        </w:tc>
        <w:tc>
          <w:tcPr>
            <w:tcW w:w="215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上海共青森林公园</w:t>
            </w:r>
          </w:p>
        </w:tc>
        <w:tc>
          <w:tcPr>
            <w:tcW w:w="414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公园门票、午餐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rPr>
              <w:t>往返交通费、保险、服务费及饮用水</w:t>
            </w:r>
          </w:p>
        </w:tc>
        <w:tc>
          <w:tcPr>
            <w:tcW w:w="104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lang w:val="en-US" w:eastAsia="zh-CN"/>
              </w:rPr>
            </w:pPr>
          </w:p>
        </w:tc>
        <w:tc>
          <w:tcPr>
            <w:tcW w:w="106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rPr>
            </w:pPr>
          </w:p>
        </w:tc>
      </w:tr>
    </w:tbl>
    <w:p>
      <w:pPr>
        <w:spacing w:line="360" w:lineRule="auto"/>
        <w:ind w:firstLine="240" w:firstLineChars="100"/>
        <w:rPr>
          <w:rFonts w:ascii="宋体"/>
          <w:sz w:val="24"/>
        </w:rPr>
      </w:pPr>
    </w:p>
    <w:p>
      <w:pPr>
        <w:spacing w:line="360" w:lineRule="auto"/>
        <w:ind w:firstLine="240" w:firstLineChars="100"/>
        <w:rPr>
          <w:rFonts w:ascii="宋体"/>
          <w:sz w:val="24"/>
        </w:rPr>
      </w:pPr>
      <w:r>
        <w:rPr>
          <w:rFonts w:hint="eastAsia" w:ascii="宋体"/>
          <w:sz w:val="24"/>
        </w:rPr>
        <w:t>说明：以上报价有缺漏的其响应将被否决。</w:t>
      </w:r>
    </w:p>
    <w:p>
      <w:pPr>
        <w:pStyle w:val="2"/>
        <w:ind w:left="0" w:leftChars="0" w:firstLine="0" w:firstLineChars="0"/>
        <w:rPr>
          <w:rFonts w:ascii="宋体"/>
          <w:sz w:val="24"/>
        </w:rPr>
      </w:pPr>
    </w:p>
    <w:p>
      <w:pPr>
        <w:spacing w:line="360" w:lineRule="auto"/>
        <w:rPr>
          <w:rFonts w:ascii="宋体"/>
          <w:sz w:val="24"/>
        </w:rPr>
      </w:pPr>
      <w:r>
        <w:rPr>
          <w:rFonts w:hint="eastAsia" w:ascii="宋体"/>
          <w:sz w:val="24"/>
        </w:rPr>
        <w:t>供应商代表签字：</w:t>
      </w:r>
      <w:r>
        <w:rPr>
          <w:rFonts w:hint="eastAsia" w:ascii="宋体"/>
          <w:sz w:val="24"/>
          <w:u w:val="single"/>
        </w:rPr>
        <w:t xml:space="preserve">                  </w:t>
      </w:r>
    </w:p>
    <w:p>
      <w:pPr>
        <w:spacing w:line="360" w:lineRule="auto"/>
        <w:rPr>
          <w:rFonts w:ascii="宋体"/>
          <w:sz w:val="24"/>
          <w:u w:val="single"/>
        </w:rPr>
      </w:pPr>
      <w:r>
        <w:rPr>
          <w:rFonts w:hint="eastAsia" w:ascii="宋体"/>
          <w:sz w:val="24"/>
        </w:rPr>
        <w:t>公章：</w:t>
      </w:r>
      <w:r>
        <w:rPr>
          <w:rFonts w:hint="eastAsia" w:ascii="宋体"/>
          <w:sz w:val="24"/>
          <w:u w:val="single"/>
        </w:rPr>
        <w:t xml:space="preserve">                            </w:t>
      </w:r>
    </w:p>
    <w:p>
      <w:pPr>
        <w:spacing w:line="360" w:lineRule="auto"/>
        <w:rPr>
          <w:rFonts w:ascii="宋体"/>
          <w:sz w:val="24"/>
        </w:rPr>
      </w:pPr>
      <w:r>
        <w:rPr>
          <w:rFonts w:hint="eastAsia" w:ascii="宋体"/>
          <w:sz w:val="24"/>
        </w:rPr>
        <w:t>日期：</w:t>
      </w:r>
      <w:r>
        <w:rPr>
          <w:rFonts w:hint="eastAsia" w:ascii="宋体"/>
          <w:sz w:val="24"/>
          <w:u w:val="single"/>
        </w:rPr>
        <w:t xml:space="preserve">                            </w:t>
      </w:r>
    </w:p>
    <w:p>
      <w:pPr>
        <w:jc w:val="left"/>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ind w:left="0" w:leftChars="0" w:firstLine="0" w:firstLineChars="0"/>
        <w:rPr>
          <w:rFonts w:hint="eastAsia" w:ascii="宋体" w:hAnsi="宋体" w:cs="宋体"/>
          <w:sz w:val="24"/>
        </w:rPr>
      </w:pPr>
      <w:bookmarkStart w:id="7" w:name="_GoBack"/>
      <w:bookmarkEnd w:id="7"/>
    </w:p>
    <w:p>
      <w:pPr>
        <w:jc w:val="left"/>
        <w:rPr>
          <w:rFonts w:ascii="宋体" w:hAnsi="宋体" w:cs="宋体"/>
          <w:sz w:val="24"/>
        </w:rPr>
      </w:pPr>
      <w:r>
        <w:rPr>
          <w:rFonts w:hint="eastAsia" w:ascii="宋体" w:hAnsi="宋体" w:cs="宋体"/>
          <w:sz w:val="24"/>
        </w:rPr>
        <w:t>附件2：法人代表授权书</w:t>
      </w:r>
    </w:p>
    <w:p>
      <w:pPr>
        <w:jc w:val="center"/>
        <w:rPr>
          <w:rFonts w:ascii="宋体" w:hAnsi="宋体" w:cs="宋体"/>
          <w:b/>
          <w:sz w:val="32"/>
          <w:szCs w:val="20"/>
        </w:rPr>
      </w:pPr>
      <w:r>
        <w:rPr>
          <w:rFonts w:hint="eastAsia" w:ascii="宋体" w:hAnsi="宋体" w:cs="宋体"/>
          <w:b/>
          <w:sz w:val="32"/>
          <w:szCs w:val="20"/>
        </w:rPr>
        <w:t>法人代表授权书（格式）</w:t>
      </w:r>
    </w:p>
    <w:p>
      <w:pPr>
        <w:rPr>
          <w:rFonts w:ascii="宋体" w:hAnsi="宋体" w:cs="宋体"/>
        </w:rPr>
      </w:pPr>
    </w:p>
    <w:p>
      <w:pPr>
        <w:pStyle w:val="25"/>
        <w:autoSpaceDE w:val="0"/>
        <w:autoSpaceDN w:val="0"/>
        <w:spacing w:before="120" w:after="120" w:line="240" w:lineRule="atLeast"/>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rPr>
        <w:t>投标，以本公司名义签署并处理一切与之有关的文件和事务。</w:t>
      </w:r>
    </w:p>
    <w:p>
      <w:pPr>
        <w:pStyle w:val="25"/>
        <w:autoSpaceDE w:val="0"/>
        <w:autoSpaceDN w:val="0"/>
        <w:spacing w:before="120" w:after="120" w:line="240" w:lineRule="atLeast"/>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25"/>
        <w:autoSpaceDE w:val="0"/>
        <w:autoSpaceDN w:val="0"/>
        <w:spacing w:before="120" w:after="120" w:line="240" w:lineRule="atLeast"/>
        <w:jc w:val="left"/>
        <w:rPr>
          <w:rFonts w:ascii="宋体" w:hAnsi="宋体" w:eastAsia="宋体" w:cs="宋体"/>
        </w:rPr>
      </w:pPr>
    </w:p>
    <w:p>
      <w:pPr>
        <w:pStyle w:val="25"/>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25"/>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25"/>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25"/>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25"/>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25"/>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rPr>
          <w:rFonts w:ascii="宋体" w:hAnsi="宋体" w:cs="宋体"/>
          <w:bCs/>
          <w:sz w:val="24"/>
        </w:rPr>
      </w:pPr>
      <w:r>
        <w:rPr>
          <w:rFonts w:hint="eastAsia" w:ascii="宋体" w:hAnsi="宋体" w:cs="宋体"/>
          <w:bCs/>
          <w:sz w:val="24"/>
        </w:rPr>
        <w:t>注：请另附上法人代表及被授权人的身份证（正反两面）或其他有效证件的复印件各一份。</w:t>
      </w:r>
    </w:p>
    <w:p>
      <w:pPr>
        <w:rPr>
          <w:rFonts w:ascii="宋体" w:hAnsi="宋体" w:cs="宋体"/>
          <w:b/>
          <w:sz w:val="32"/>
          <w:szCs w:val="20"/>
        </w:rPr>
      </w:pPr>
      <w:r>
        <w:rPr>
          <w:rFonts w:hint="eastAsia" w:ascii="宋体" w:hAnsi="宋体" w:cs="宋体"/>
          <w:sz w:val="24"/>
          <w:u w:val="single"/>
        </w:rPr>
        <w:br w:type="page"/>
      </w:r>
      <w:r>
        <w:rPr>
          <w:rFonts w:hint="eastAsia" w:ascii="宋体" w:hAnsi="宋体" w:cs="宋体"/>
          <w:sz w:val="24"/>
        </w:rPr>
        <w:t>附件3</w:t>
      </w:r>
      <w:r>
        <w:rPr>
          <w:rFonts w:hint="eastAsia" w:ascii="宋体" w:hAnsi="宋体" w:cs="宋体"/>
          <w:bCs/>
          <w:sz w:val="32"/>
          <w:szCs w:val="20"/>
        </w:rPr>
        <w:t>：</w:t>
      </w:r>
      <w:r>
        <w:rPr>
          <w:rFonts w:hint="eastAsia" w:ascii="宋体" w:hAnsi="宋体" w:cs="宋体"/>
          <w:sz w:val="24"/>
        </w:rPr>
        <w:t>技术参数偏离表</w:t>
      </w:r>
      <w:r>
        <w:rPr>
          <w:rFonts w:hint="eastAsia" w:ascii="宋体" w:hAnsi="宋体" w:cs="宋体"/>
          <w:bCs/>
          <w:sz w:val="32"/>
          <w:szCs w:val="20"/>
        </w:rPr>
        <w:t xml:space="preserve">   </w:t>
      </w:r>
      <w:r>
        <w:rPr>
          <w:rFonts w:hint="eastAsia" w:ascii="宋体" w:hAnsi="宋体" w:cs="宋体"/>
          <w:b/>
          <w:sz w:val="32"/>
          <w:szCs w:val="20"/>
        </w:rPr>
        <w:t xml:space="preserve">            </w:t>
      </w:r>
    </w:p>
    <w:p>
      <w:pPr>
        <w:jc w:val="center"/>
        <w:rPr>
          <w:rFonts w:ascii="宋体" w:hAnsi="宋体" w:cs="宋体"/>
          <w:b/>
          <w:sz w:val="32"/>
          <w:szCs w:val="20"/>
        </w:rPr>
      </w:pPr>
      <w:r>
        <w:rPr>
          <w:rFonts w:hint="eastAsia" w:ascii="宋体" w:hAnsi="宋体" w:cs="宋体"/>
          <w:b/>
          <w:sz w:val="32"/>
          <w:szCs w:val="20"/>
        </w:rPr>
        <w:t>技术参数偏离表（格式）</w:t>
      </w:r>
    </w:p>
    <w:p>
      <w:pPr>
        <w:rPr>
          <w:rFonts w:ascii="宋体" w:hAnsi="宋体" w:cs="宋体"/>
        </w:rPr>
      </w:pPr>
    </w:p>
    <w:p>
      <w:pPr>
        <w:rPr>
          <w:rFonts w:ascii="宋体" w:hAnsi="宋体" w:cs="宋体"/>
          <w:sz w:val="24"/>
        </w:rPr>
      </w:pPr>
      <w:r>
        <w:rPr>
          <w:rFonts w:hint="eastAsia" w:ascii="宋体" w:hAnsi="宋体" w:cs="宋体"/>
          <w:sz w:val="24"/>
        </w:rPr>
        <w:t>供应商名称：____________________________</w:t>
      </w:r>
    </w:p>
    <w:p>
      <w:pPr>
        <w:rPr>
          <w:rFonts w:ascii="宋体" w:hAnsi="宋体" w:cs="宋体"/>
        </w:rPr>
      </w:pPr>
    </w:p>
    <w:p>
      <w:pPr>
        <w:rPr>
          <w:rFonts w:ascii="宋体" w:hAnsi="宋体" w:cs="宋体"/>
        </w:rPr>
      </w:pPr>
    </w:p>
    <w:tbl>
      <w:tblPr>
        <w:tblStyle w:val="15"/>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响应文件要求</w:t>
            </w:r>
          </w:p>
        </w:tc>
        <w:tc>
          <w:tcPr>
            <w:tcW w:w="1950" w:type="dxa"/>
            <w:vAlign w:val="center"/>
          </w:tcPr>
          <w:p>
            <w:pPr>
              <w:spacing w:line="360" w:lineRule="auto"/>
              <w:jc w:val="center"/>
              <w:rPr>
                <w:rFonts w:ascii="宋体" w:hAnsi="宋体" w:cs="宋体"/>
                <w:sz w:val="24"/>
              </w:rPr>
            </w:pPr>
            <w:r>
              <w:rPr>
                <w:rFonts w:hint="eastAsia" w:ascii="宋体" w:hAnsi="宋体" w:cs="宋体"/>
                <w:sz w:val="24"/>
              </w:rPr>
              <w:t>响应情况说明</w:t>
            </w:r>
          </w:p>
        </w:tc>
        <w:tc>
          <w:tcPr>
            <w:tcW w:w="1424" w:type="dxa"/>
            <w:vAlign w:val="center"/>
          </w:tcPr>
          <w:p>
            <w:pPr>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bl>
    <w:p>
      <w:pPr>
        <w:jc w:val="center"/>
        <w:rPr>
          <w:rFonts w:ascii="宋体" w:hAnsi="宋体" w:cs="宋体"/>
        </w:rPr>
      </w:pPr>
    </w:p>
    <w:p>
      <w:pPr>
        <w:spacing w:line="360" w:lineRule="auto"/>
        <w:ind w:left="850" w:hanging="849" w:hangingChars="354"/>
        <w:jc w:val="left"/>
        <w:rPr>
          <w:rFonts w:ascii="宋体" w:hAnsi="宋体"/>
          <w:sz w:val="24"/>
        </w:rPr>
      </w:pPr>
      <w:r>
        <w:rPr>
          <w:rFonts w:hint="eastAsia" w:ascii="宋体" w:hAnsi="宋体"/>
          <w:sz w:val="24"/>
        </w:rPr>
        <w:t>注：</w:t>
      </w:r>
    </w:p>
    <w:p>
      <w:pPr>
        <w:spacing w:line="360" w:lineRule="auto"/>
        <w:ind w:left="2"/>
        <w:jc w:val="left"/>
        <w:rPr>
          <w:rFonts w:ascii="宋体" w:hAnsi="宋体"/>
          <w:sz w:val="24"/>
        </w:rPr>
      </w:pPr>
      <w:r>
        <w:rPr>
          <w:rFonts w:hint="eastAsia" w:ascii="宋体" w:hAnsi="宋体"/>
          <w:sz w:val="24"/>
        </w:rPr>
        <w:t>1、供应商应对照遴选文件“第二章 货物需求一览表及技术规格”的相关内容，逐条说明所提供货物和服务已对遴选文件的需求做出了实质性的响应，并申明与需求的偏差和例外。</w:t>
      </w:r>
    </w:p>
    <w:p>
      <w:pPr>
        <w:spacing w:line="360" w:lineRule="auto"/>
        <w:ind w:left="850" w:hanging="849" w:hangingChars="354"/>
        <w:jc w:val="left"/>
        <w:rPr>
          <w:rFonts w:ascii="宋体" w:hAnsi="宋体"/>
          <w:sz w:val="24"/>
        </w:rPr>
      </w:pPr>
      <w:r>
        <w:rPr>
          <w:rFonts w:hint="eastAsia" w:ascii="宋体" w:hAnsi="宋体"/>
          <w:sz w:val="24"/>
        </w:rPr>
        <w:t>2、供应商可在“响应情况说明”中就响应内容进行明确“响应”或“不响应”。</w:t>
      </w:r>
    </w:p>
    <w:p>
      <w:pPr>
        <w:spacing w:line="360" w:lineRule="auto"/>
        <w:jc w:val="left"/>
        <w:rPr>
          <w:rFonts w:ascii="宋体" w:hAnsi="宋体"/>
          <w:sz w:val="24"/>
        </w:rPr>
      </w:pPr>
      <w:r>
        <w:rPr>
          <w:rFonts w:hint="eastAsia" w:ascii="宋体" w:hAnsi="宋体"/>
          <w:sz w:val="24"/>
        </w:rPr>
        <w:t>3、如果表格叙述不下，可另附页说明。</w:t>
      </w:r>
    </w:p>
    <w:p>
      <w:pPr>
        <w:spacing w:line="360" w:lineRule="auto"/>
        <w:rPr>
          <w:rFonts w:ascii="宋体" w:hAnsi="宋体"/>
        </w:rPr>
      </w:pPr>
    </w:p>
    <w:p>
      <w:pPr>
        <w:spacing w:line="360" w:lineRule="auto"/>
        <w:rPr>
          <w:rFonts w:ascii="宋体" w:hAnsi="宋体"/>
        </w:rPr>
      </w:pPr>
    </w:p>
    <w:p>
      <w:pPr>
        <w:spacing w:line="360" w:lineRule="auto"/>
        <w:rPr>
          <w:rFonts w:ascii="宋体" w:hAnsi="宋体"/>
          <w:sz w:val="24"/>
        </w:rPr>
      </w:pPr>
      <w:r>
        <w:rPr>
          <w:rFonts w:hint="eastAsia" w:ascii="宋体" w:hAnsi="宋体"/>
          <w:sz w:val="24"/>
        </w:rPr>
        <w:t>供应商代表签字：</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pPr>
        <w:rPr>
          <w:rFonts w:ascii="宋体" w:hAnsi="宋体" w:cs="宋体"/>
          <w:sz w:val="24"/>
          <w:u w:val="single"/>
        </w:rPr>
      </w:pPr>
    </w:p>
    <w:p>
      <w:pPr>
        <w:rPr>
          <w:rFonts w:ascii="宋体" w:hAnsi="宋体" w:cs="宋体"/>
          <w:sz w:val="24"/>
          <w:u w:val="single"/>
        </w:rPr>
      </w:pPr>
    </w:p>
    <w:p>
      <w:pPr>
        <w:jc w:val="left"/>
        <w:rPr>
          <w:rFonts w:ascii="宋体" w:hAnsi="宋体" w:cs="宋体"/>
          <w:sz w:val="24"/>
        </w:rPr>
      </w:pPr>
    </w:p>
    <w:p>
      <w:pPr>
        <w:jc w:val="left"/>
        <w:rPr>
          <w:rFonts w:ascii="宋体" w:hAnsi="宋体" w:cs="宋体"/>
          <w:sz w:val="24"/>
        </w:rPr>
      </w:pPr>
      <w:r>
        <w:rPr>
          <w:rFonts w:hint="eastAsia" w:ascii="宋体" w:hAnsi="宋体" w:cs="宋体"/>
          <w:sz w:val="24"/>
        </w:rPr>
        <w:t>附件4：</w:t>
      </w:r>
      <w:r>
        <w:rPr>
          <w:rFonts w:hint="eastAsia" w:ascii="宋体" w:hAnsi="宋体" w:cs="宋体"/>
          <w:bCs/>
          <w:sz w:val="24"/>
        </w:rPr>
        <w:t>用户名单</w:t>
      </w:r>
    </w:p>
    <w:p>
      <w:pPr>
        <w:jc w:val="center"/>
        <w:rPr>
          <w:rFonts w:ascii="宋体" w:hAnsi="宋体" w:cs="宋体"/>
          <w:sz w:val="24"/>
        </w:rPr>
      </w:pPr>
      <w:r>
        <w:rPr>
          <w:rFonts w:hint="eastAsia" w:ascii="宋体" w:hAnsi="宋体" w:cs="宋体"/>
          <w:b/>
          <w:sz w:val="32"/>
          <w:szCs w:val="20"/>
        </w:rPr>
        <w:t>用户名单</w:t>
      </w:r>
    </w:p>
    <w:tbl>
      <w:tblPr>
        <w:tblStyle w:val="15"/>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1559"/>
        <w:gridCol w:w="1560"/>
        <w:gridCol w:w="127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3085" w:type="dxa"/>
          </w:tcPr>
          <w:p>
            <w:pPr>
              <w:spacing w:line="360" w:lineRule="auto"/>
              <w:jc w:val="center"/>
              <w:rPr>
                <w:rFonts w:ascii="宋体" w:hAnsi="宋体" w:cs="宋体"/>
                <w:sz w:val="24"/>
              </w:rPr>
            </w:pPr>
            <w:r>
              <w:rPr>
                <w:rFonts w:hint="eastAsia" w:ascii="宋体" w:hAnsi="宋体" w:cs="宋体"/>
                <w:sz w:val="24"/>
              </w:rPr>
              <w:t>用户名称</w:t>
            </w:r>
          </w:p>
        </w:tc>
        <w:tc>
          <w:tcPr>
            <w:tcW w:w="1559" w:type="dxa"/>
          </w:tcPr>
          <w:p>
            <w:pPr>
              <w:spacing w:line="360" w:lineRule="auto"/>
              <w:jc w:val="center"/>
              <w:rPr>
                <w:rFonts w:ascii="宋体" w:hAnsi="宋体" w:cs="宋体"/>
                <w:sz w:val="24"/>
              </w:rPr>
            </w:pPr>
            <w:r>
              <w:rPr>
                <w:rFonts w:hint="eastAsia" w:ascii="宋体" w:hAnsi="宋体" w:cs="宋体"/>
                <w:sz w:val="24"/>
              </w:rPr>
              <w:t>所属城市</w:t>
            </w:r>
          </w:p>
        </w:tc>
        <w:tc>
          <w:tcPr>
            <w:tcW w:w="1560" w:type="dxa"/>
          </w:tcPr>
          <w:p>
            <w:pPr>
              <w:spacing w:line="360" w:lineRule="auto"/>
              <w:jc w:val="center"/>
              <w:rPr>
                <w:rFonts w:ascii="宋体" w:hAnsi="宋体" w:cs="宋体"/>
                <w:sz w:val="24"/>
              </w:rPr>
            </w:pPr>
            <w:r>
              <w:rPr>
                <w:rFonts w:hint="eastAsia" w:ascii="宋体" w:hAnsi="宋体" w:cs="宋体"/>
                <w:sz w:val="24"/>
              </w:rPr>
              <w:t>数量</w:t>
            </w:r>
          </w:p>
        </w:tc>
        <w:tc>
          <w:tcPr>
            <w:tcW w:w="1275" w:type="dxa"/>
          </w:tcPr>
          <w:p>
            <w:pPr>
              <w:spacing w:line="360" w:lineRule="auto"/>
              <w:jc w:val="center"/>
              <w:rPr>
                <w:rFonts w:ascii="宋体" w:hAnsi="宋体" w:cs="宋体"/>
                <w:sz w:val="24"/>
              </w:rPr>
            </w:pPr>
            <w:r>
              <w:rPr>
                <w:rFonts w:hint="eastAsia" w:ascii="宋体" w:hAnsi="宋体" w:cs="宋体"/>
                <w:sz w:val="24"/>
              </w:rPr>
              <w:t>联系人</w:t>
            </w:r>
          </w:p>
        </w:tc>
        <w:tc>
          <w:tcPr>
            <w:tcW w:w="1843" w:type="dxa"/>
          </w:tcPr>
          <w:p>
            <w:pPr>
              <w:spacing w:line="360" w:lineRule="auto"/>
              <w:jc w:val="center"/>
              <w:rPr>
                <w:rFonts w:ascii="宋体" w:hAnsi="宋体" w:cs="宋体"/>
                <w:sz w:val="24"/>
              </w:rPr>
            </w:pPr>
            <w:r>
              <w:rPr>
                <w:rFonts w:hint="eastAsia" w:ascii="宋体" w:hAnsi="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bl>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附件5：信用中国查询结果截图（模板如下）：</w:t>
      </w:r>
    </w:p>
    <w:p>
      <w:pPr>
        <w:ind w:firstLine="3040" w:firstLineChars="950"/>
        <w:rPr>
          <w:rFonts w:ascii="宋体" w:hAnsi="宋体" w:cs="宋体"/>
          <w:b/>
          <w:sz w:val="32"/>
          <w:szCs w:val="20"/>
        </w:rPr>
      </w:pPr>
      <w:r>
        <w:rPr>
          <w:rFonts w:hint="eastAsia" w:ascii="宋体" w:hAnsi="宋体" w:cs="宋体"/>
          <w:b/>
          <w:sz w:val="32"/>
          <w:szCs w:val="20"/>
        </w:rPr>
        <w:t>信用中国查询结果截图</w:t>
      </w:r>
    </w:p>
    <w:p>
      <w:pPr>
        <w:rPr>
          <w:rFonts w:ascii="宋体" w:hAnsi="宋体" w:cs="宋体"/>
          <w:sz w:val="24"/>
        </w:rPr>
      </w:pPr>
      <w:r>
        <w:rPr>
          <w:rFonts w:hint="eastAsia" w:ascii="宋体" w:hAnsi="宋体" w:cs="宋体"/>
          <w:sz w:val="24"/>
        </w:rPr>
        <w:drawing>
          <wp:inline distT="0" distB="0" distL="114300" distR="114300">
            <wp:extent cx="5762625" cy="4307205"/>
            <wp:effectExtent l="0" t="0" r="9525" b="17145"/>
            <wp:docPr id="1" name="图片 1"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0263933(1)"/>
                    <pic:cNvPicPr>
                      <a:picLocks noChangeAspect="1"/>
                    </pic:cNvPicPr>
                  </pic:nvPicPr>
                  <pic:blipFill>
                    <a:blip r:embed="rId8" cstate="print"/>
                    <a:stretch>
                      <a:fillRect/>
                    </a:stretch>
                  </pic:blipFill>
                  <pic:spPr>
                    <a:xfrm>
                      <a:off x="0" y="0"/>
                      <a:ext cx="5762625" cy="4307205"/>
                    </a:xfrm>
                    <a:prstGeom prst="rect">
                      <a:avLst/>
                    </a:prstGeom>
                    <a:noFill/>
                    <a:ln>
                      <a:noFill/>
                    </a:ln>
                  </pic:spPr>
                </pic:pic>
              </a:graphicData>
            </a:graphic>
          </wp:inline>
        </w:drawing>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附件6：无重大违法记录承诺书</w:t>
      </w:r>
    </w:p>
    <w:p>
      <w:pPr>
        <w:jc w:val="center"/>
        <w:rPr>
          <w:rFonts w:ascii="宋体" w:hAnsi="宋体" w:cs="宋体"/>
          <w:b/>
          <w:sz w:val="32"/>
          <w:szCs w:val="20"/>
        </w:rPr>
      </w:pPr>
      <w:r>
        <w:rPr>
          <w:rFonts w:hint="eastAsia" w:ascii="宋体" w:hAnsi="宋体" w:cs="宋体"/>
          <w:b/>
          <w:sz w:val="32"/>
          <w:szCs w:val="20"/>
        </w:rPr>
        <w:t>无重大违法记录承诺书（格式）</w:t>
      </w:r>
    </w:p>
    <w:p>
      <w:pPr>
        <w:rPr>
          <w:rFonts w:ascii="宋体" w:hAnsi="宋体" w:cs="宋体"/>
          <w:b/>
          <w:sz w:val="24"/>
          <w:u w:val="single"/>
        </w:rPr>
      </w:pPr>
    </w:p>
    <w:p>
      <w:pPr>
        <w:rPr>
          <w:rFonts w:ascii="宋体" w:hAnsi="宋体" w:cs="宋体"/>
          <w:sz w:val="24"/>
        </w:rPr>
      </w:pPr>
      <w:r>
        <w:rPr>
          <w:rFonts w:hint="eastAsia" w:ascii="宋体" w:hAnsi="宋体" w:cs="宋体"/>
          <w:sz w:val="24"/>
        </w:rPr>
        <w:t>上海市儿童医院：</w:t>
      </w:r>
    </w:p>
    <w:p>
      <w:pPr>
        <w:rPr>
          <w:rFonts w:ascii="宋体" w:hAnsi="宋体" w:cs="宋体"/>
          <w:sz w:val="24"/>
          <w:u w:val="single"/>
        </w:rPr>
      </w:pPr>
    </w:p>
    <w:p>
      <w:pPr>
        <w:rPr>
          <w:rFonts w:ascii="宋体" w:hAnsi="宋体" w:cs="宋体"/>
          <w:sz w:val="24"/>
          <w:u w:val="single"/>
        </w:rPr>
      </w:pP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项目的投标。在此郑重声明：我公司在参加采购活动前三年内，在经营活动中没有重大违法记录。</w:t>
      </w:r>
    </w:p>
    <w:p>
      <w:pPr>
        <w:rPr>
          <w:rFonts w:ascii="宋体" w:hAnsi="宋体" w:cs="宋体"/>
          <w:sz w:val="24"/>
          <w:u w:val="single"/>
        </w:rPr>
      </w:pPr>
    </w:p>
    <w:p>
      <w:pPr>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rPr>
          <w:rFonts w:ascii="宋体" w:hAnsi="宋体" w:cs="宋体"/>
          <w:sz w:val="24"/>
          <w:u w:val="single"/>
        </w:rPr>
      </w:pPr>
    </w:p>
    <w:p>
      <w:pPr>
        <w:rPr>
          <w:rFonts w:ascii="宋体" w:hAnsi="宋体" w:cs="宋体"/>
          <w:sz w:val="24"/>
        </w:rPr>
      </w:pPr>
      <w:r>
        <w:rPr>
          <w:rFonts w:hint="eastAsia" w:ascii="宋体" w:hAnsi="宋体" w:cs="宋体"/>
          <w:sz w:val="24"/>
        </w:rPr>
        <w:t>供应商代表签字：</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附件7：无行贿犯罪记录声明函</w:t>
      </w:r>
    </w:p>
    <w:p>
      <w:pPr>
        <w:ind w:firstLine="2720" w:firstLineChars="850"/>
        <w:rPr>
          <w:rFonts w:ascii="宋体" w:hAnsi="宋体" w:cs="宋体"/>
          <w:sz w:val="24"/>
        </w:rPr>
      </w:pPr>
      <w:r>
        <w:rPr>
          <w:rFonts w:hint="eastAsia" w:ascii="宋体" w:hAnsi="宋体" w:cs="宋体"/>
          <w:b/>
          <w:sz w:val="32"/>
          <w:szCs w:val="20"/>
        </w:rPr>
        <w:t>无行贿犯罪记录声明函（格式）</w:t>
      </w:r>
    </w:p>
    <w:p>
      <w:pPr>
        <w:rPr>
          <w:rFonts w:ascii="宋体" w:hAnsi="宋体" w:cs="宋体"/>
          <w:sz w:val="24"/>
        </w:rPr>
      </w:pPr>
      <w:r>
        <w:rPr>
          <w:rFonts w:hint="eastAsia" w:ascii="宋体" w:hAnsi="宋体" w:cs="宋体"/>
          <w:sz w:val="24"/>
        </w:rPr>
        <w:t>上海市儿童医院：</w:t>
      </w:r>
    </w:p>
    <w:p>
      <w:pPr>
        <w:rPr>
          <w:rFonts w:ascii="宋体" w:hAnsi="宋体" w:cs="宋体"/>
          <w:sz w:val="24"/>
        </w:rPr>
      </w:pPr>
    </w:p>
    <w:p>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项目的投标。在此郑重声明：经查询中国裁判文书网，我公司自开展经营活动以来，未有过行贿犯罪记录。</w:t>
      </w:r>
    </w:p>
    <w:p>
      <w:pPr>
        <w:rPr>
          <w:rFonts w:ascii="宋体" w:hAnsi="宋体" w:cs="宋体"/>
          <w:sz w:val="24"/>
        </w:rPr>
      </w:pPr>
      <w:r>
        <w:rPr>
          <w:rFonts w:hint="eastAsia" w:ascii="宋体" w:hAnsi="宋体" w:cs="宋体"/>
          <w:sz w:val="24"/>
        </w:rPr>
        <w:t xml:space="preserve">    特此声明。</w:t>
      </w:r>
    </w:p>
    <w:p>
      <w:pPr>
        <w:rPr>
          <w:rFonts w:ascii="宋体" w:hAnsi="宋体" w:cs="宋体"/>
          <w:sz w:val="24"/>
        </w:rPr>
      </w:pPr>
      <w:r>
        <w:rPr>
          <w:rFonts w:hint="eastAsia" w:ascii="宋体" w:hAnsi="宋体" w:cs="宋体"/>
          <w:sz w:val="24"/>
        </w:rPr>
        <w:t xml:space="preserve">    本公司对上述声明的真实性负责。如有虚假，将依法承担相应责任。</w:t>
      </w:r>
    </w:p>
    <w:p>
      <w:pPr>
        <w:rPr>
          <w:rFonts w:ascii="宋体" w:hAnsi="宋体" w:cs="宋体"/>
          <w:sz w:val="24"/>
        </w:rPr>
      </w:pPr>
    </w:p>
    <w:p>
      <w:pPr>
        <w:rPr>
          <w:rFonts w:ascii="宋体" w:hAnsi="宋体" w:cs="宋体"/>
          <w:sz w:val="24"/>
        </w:rPr>
      </w:pPr>
    </w:p>
    <w:p>
      <w:pPr>
        <w:rPr>
          <w:rFonts w:hint="eastAsia" w:ascii="宋体" w:hAnsi="宋体" w:eastAsia="宋体" w:cs="宋体"/>
          <w:sz w:val="24"/>
          <w:lang w:eastAsia="zh-CN"/>
        </w:rPr>
      </w:pPr>
      <w:r>
        <w:rPr>
          <w:rFonts w:hint="eastAsia" w:ascii="宋体" w:hAnsi="宋体" w:cs="宋体"/>
          <w:sz w:val="24"/>
        </w:rPr>
        <w:t>投标人代表签字:</w:t>
      </w:r>
      <w:r>
        <w:rPr>
          <w:rFonts w:hint="eastAsia" w:ascii="宋体" w:hAnsi="宋体" w:cs="宋体"/>
          <w:sz w:val="24"/>
          <w:lang w:val="en-US" w:eastAsia="zh-CN"/>
        </w:rPr>
        <w:t xml:space="preserve"> </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日期:</w:t>
      </w:r>
      <w:r>
        <w:rPr>
          <w:rFonts w:hint="eastAsia" w:ascii="宋体" w:hAnsi="宋体" w:cs="宋体"/>
          <w:sz w:val="24"/>
          <w:lang w:val="en-US" w:eastAsia="zh-CN"/>
        </w:rPr>
        <w:t xml:space="preserve">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投标人名称:</w:t>
      </w:r>
      <w:r>
        <w:rPr>
          <w:rFonts w:hint="eastAsia" w:ascii="宋体" w:hAnsi="宋体" w:cs="宋体"/>
          <w:sz w:val="24"/>
          <w:lang w:val="en-US" w:eastAsia="zh-CN"/>
        </w:rPr>
        <w:t xml:space="preserve">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
    <w:p/>
    <w:sectPr>
      <w:footerReference r:id="rId5" w:type="first"/>
      <w:headerReference r:id="rId3" w:type="default"/>
      <w:footerReference r:id="rId4" w:type="default"/>
      <w:pgSz w:w="11906" w:h="16838"/>
      <w:pgMar w:top="1440" w:right="1304" w:bottom="1440" w:left="1304" w:header="851" w:footer="992" w:gutter="0"/>
      <w:pgNumType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972185" cy="147955"/>
              <wp:effectExtent l="0" t="0" r="0" b="0"/>
              <wp:wrapNone/>
              <wp:docPr id="5" name="Text Box 5"/>
              <wp:cNvGraphicFramePr/>
              <a:graphic xmlns:a="http://schemas.openxmlformats.org/drawingml/2006/main">
                <a:graphicData uri="http://schemas.microsoft.com/office/word/2010/wordprocessingShape">
                  <wps:wsp>
                    <wps:cNvSpPr txBox="1">
                      <a:spLocks noChangeArrowheads="1"/>
                    </wps:cNvSpPr>
                    <wps:spPr bwMode="auto">
                      <a:xfrm>
                        <a:off x="0" y="0"/>
                        <a:ext cx="972185" cy="147955"/>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Text Box 5" o:spid="_x0000_s1026" o:spt="202" type="#_x0000_t202" style="position:absolute;left:0pt;margin-top:0pt;height:11.65pt;width:76.55pt;mso-position-horizontal:center;mso-position-horizontal-relative:margin;mso-wrap-style:none;z-index:251661312;mso-width-relative:page;mso-height-relative:page;" filled="f" stroked="f" coordsize="21600,21600"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0naTQ0gAAAAQBAAAPAAAAAAAAAAEAIAAAACIAAABkcnMvZG93bnJldi54bWxQSwEC&#10;FAAUAAAACACHTuJAcjpG4PoBAAABBAAADgAAAAAAAAABACAAAAAhAQAAZHJzL2Uyb0RvYy54bWxQ&#10;SwUGAAAAAAYABgBZAQAAj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64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915035" cy="147955"/>
              <wp:effectExtent l="0" t="0" r="0" b="0"/>
              <wp:wrapNone/>
              <wp:docPr id="4" name="Text Box 6"/>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Text Box 6" o:spid="_x0000_s1026" o:spt="202" type="#_x0000_t202" style="position:absolute;left:0pt;margin-top:0pt;height:11.65pt;width:72.05pt;mso-position-horizontal:center;mso-position-horizontal-relative:margin;mso-wrap-style:none;z-index:251662336;mso-width-relative:page;mso-height-relative:page;" filled="f" stroked="f" coordsize="21600,21600" o:gfxdata="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7eqt9IAAAAEAQAADwAAAAAAAAABACAAAAAiAAAAZHJzL2Rvd25yZXYueG1sUEsB&#10;AhQAFAAAAAgAh07iQOspp/j7AQAAAQQAAA4AAAAAAAAAAQAgAAAAIQEAAGRycy9lMm9Eb2MueG1s&#10;UEsFBgAAAAAGAAYAWQEAAI4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0"/>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pPr>
                      <w:pStyle w:val="1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B376F"/>
    <w:multiLevelType w:val="singleLevel"/>
    <w:tmpl w:val="9B2B376F"/>
    <w:lvl w:ilvl="0" w:tentative="0">
      <w:start w:val="1"/>
      <w:numFmt w:val="decimal"/>
      <w:lvlText w:val="%1)"/>
      <w:lvlJc w:val="left"/>
      <w:pPr>
        <w:ind w:left="845" w:hanging="425"/>
      </w:pPr>
      <w:rPr>
        <w:rFonts w:hint="default"/>
      </w:rPr>
    </w:lvl>
  </w:abstractNum>
  <w:abstractNum w:abstractNumId="1">
    <w:nsid w:val="B454D804"/>
    <w:multiLevelType w:val="singleLevel"/>
    <w:tmpl w:val="B454D804"/>
    <w:lvl w:ilvl="0" w:tentative="0">
      <w:start w:val="1"/>
      <w:numFmt w:val="decimal"/>
      <w:lvlText w:val="%1)"/>
      <w:lvlJc w:val="left"/>
      <w:pPr>
        <w:ind w:left="845" w:hanging="425"/>
      </w:pPr>
      <w:rPr>
        <w:rFonts w:hint="default"/>
      </w:rPr>
    </w:lvl>
  </w:abstractNum>
  <w:abstractNum w:abstractNumId="2">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5"/>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3">
    <w:nsid w:val="02064CAD"/>
    <w:multiLevelType w:val="multilevel"/>
    <w:tmpl w:val="02064CAD"/>
    <w:lvl w:ilvl="0" w:tentative="0">
      <w:start w:val="2"/>
      <w:numFmt w:val="japaneseCounting"/>
      <w:lvlText w:val="第%1章"/>
      <w:lvlJc w:val="left"/>
      <w:pPr>
        <w:tabs>
          <w:tab w:val="left" w:pos="1260"/>
        </w:tabs>
        <w:ind w:left="1260" w:hanging="126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99E2DD7"/>
    <w:multiLevelType w:val="multilevel"/>
    <w:tmpl w:val="399E2DD7"/>
    <w:lvl w:ilvl="0" w:tentative="0">
      <w:start w:val="1"/>
      <w:numFmt w:val="decimal"/>
      <w:lvlText w:val="%1)"/>
      <w:lvlJc w:val="left"/>
      <w:pPr>
        <w:ind w:left="1264" w:hanging="420"/>
      </w:pPr>
    </w:lvl>
    <w:lvl w:ilvl="1" w:tentative="0">
      <w:start w:val="1"/>
      <w:numFmt w:val="lowerLetter"/>
      <w:lvlText w:val="%2)"/>
      <w:lvlJc w:val="left"/>
      <w:pPr>
        <w:ind w:left="1684" w:hanging="420"/>
      </w:pPr>
    </w:lvl>
    <w:lvl w:ilvl="2" w:tentative="0">
      <w:start w:val="1"/>
      <w:numFmt w:val="lowerRoman"/>
      <w:lvlText w:val="%3."/>
      <w:lvlJc w:val="right"/>
      <w:pPr>
        <w:ind w:left="2104" w:hanging="420"/>
      </w:pPr>
    </w:lvl>
    <w:lvl w:ilvl="3" w:tentative="0">
      <w:start w:val="1"/>
      <w:numFmt w:val="decimal"/>
      <w:lvlText w:val="%4."/>
      <w:lvlJc w:val="left"/>
      <w:pPr>
        <w:ind w:left="2524" w:hanging="420"/>
      </w:pPr>
    </w:lvl>
    <w:lvl w:ilvl="4" w:tentative="0">
      <w:start w:val="1"/>
      <w:numFmt w:val="lowerLetter"/>
      <w:lvlText w:val="%5)"/>
      <w:lvlJc w:val="left"/>
      <w:pPr>
        <w:ind w:left="2944" w:hanging="420"/>
      </w:pPr>
    </w:lvl>
    <w:lvl w:ilvl="5" w:tentative="0">
      <w:start w:val="1"/>
      <w:numFmt w:val="lowerRoman"/>
      <w:lvlText w:val="%6."/>
      <w:lvlJc w:val="right"/>
      <w:pPr>
        <w:ind w:left="3364" w:hanging="420"/>
      </w:pPr>
    </w:lvl>
    <w:lvl w:ilvl="6" w:tentative="0">
      <w:start w:val="1"/>
      <w:numFmt w:val="decimal"/>
      <w:lvlText w:val="%7."/>
      <w:lvlJc w:val="left"/>
      <w:pPr>
        <w:ind w:left="3784" w:hanging="420"/>
      </w:pPr>
    </w:lvl>
    <w:lvl w:ilvl="7" w:tentative="0">
      <w:start w:val="1"/>
      <w:numFmt w:val="lowerLetter"/>
      <w:lvlText w:val="%8)"/>
      <w:lvlJc w:val="left"/>
      <w:pPr>
        <w:ind w:left="4204" w:hanging="420"/>
      </w:pPr>
    </w:lvl>
    <w:lvl w:ilvl="8" w:tentative="0">
      <w:start w:val="1"/>
      <w:numFmt w:val="lowerRoman"/>
      <w:lvlText w:val="%9."/>
      <w:lvlJc w:val="right"/>
      <w:pPr>
        <w:ind w:left="4624" w:hanging="420"/>
      </w:pPr>
    </w:lvl>
  </w:abstractNum>
  <w:abstractNum w:abstractNumId="6">
    <w:nsid w:val="6113925A"/>
    <w:multiLevelType w:val="singleLevel"/>
    <w:tmpl w:val="6113925A"/>
    <w:lvl w:ilvl="0" w:tentative="0">
      <w:start w:val="4"/>
      <w:numFmt w:val="decimal"/>
      <w:suff w:val="nothing"/>
      <w:lvlText w:val="%1、"/>
      <w:lvlJc w:val="left"/>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94E92"/>
    <w:rsid w:val="000D02C6"/>
    <w:rsid w:val="000D69AE"/>
    <w:rsid w:val="00164B26"/>
    <w:rsid w:val="00265C46"/>
    <w:rsid w:val="002B3AA2"/>
    <w:rsid w:val="00370B05"/>
    <w:rsid w:val="00386F46"/>
    <w:rsid w:val="004455D6"/>
    <w:rsid w:val="005D5888"/>
    <w:rsid w:val="00632971"/>
    <w:rsid w:val="006F02F9"/>
    <w:rsid w:val="007767C7"/>
    <w:rsid w:val="00871A3B"/>
    <w:rsid w:val="00946B48"/>
    <w:rsid w:val="00AC7C38"/>
    <w:rsid w:val="00BA1CCD"/>
    <w:rsid w:val="00BA332B"/>
    <w:rsid w:val="00C13E2C"/>
    <w:rsid w:val="00D400A1"/>
    <w:rsid w:val="00DC33FD"/>
    <w:rsid w:val="00EC0807"/>
    <w:rsid w:val="0357066F"/>
    <w:rsid w:val="056C2D54"/>
    <w:rsid w:val="06A71963"/>
    <w:rsid w:val="07CC3CE5"/>
    <w:rsid w:val="07FC03D1"/>
    <w:rsid w:val="07FF5C5B"/>
    <w:rsid w:val="085A7398"/>
    <w:rsid w:val="0CA93B2B"/>
    <w:rsid w:val="0D6D61B7"/>
    <w:rsid w:val="0DF728DE"/>
    <w:rsid w:val="0FA0712C"/>
    <w:rsid w:val="0FE80FB7"/>
    <w:rsid w:val="0FEE35BB"/>
    <w:rsid w:val="1182692A"/>
    <w:rsid w:val="149E3943"/>
    <w:rsid w:val="167D3F07"/>
    <w:rsid w:val="17DB3911"/>
    <w:rsid w:val="1B2858DB"/>
    <w:rsid w:val="1B812479"/>
    <w:rsid w:val="1F9667C1"/>
    <w:rsid w:val="207756F7"/>
    <w:rsid w:val="20DC0F2D"/>
    <w:rsid w:val="21AD19D1"/>
    <w:rsid w:val="224D1A14"/>
    <w:rsid w:val="23B337CB"/>
    <w:rsid w:val="245C312A"/>
    <w:rsid w:val="25BD6C34"/>
    <w:rsid w:val="26312F73"/>
    <w:rsid w:val="264A077C"/>
    <w:rsid w:val="26BA3B66"/>
    <w:rsid w:val="28AA0CAA"/>
    <w:rsid w:val="291D0ED5"/>
    <w:rsid w:val="2C7A2EB0"/>
    <w:rsid w:val="2E2456A8"/>
    <w:rsid w:val="31501BF3"/>
    <w:rsid w:val="32BB4705"/>
    <w:rsid w:val="354A2CD2"/>
    <w:rsid w:val="378515A4"/>
    <w:rsid w:val="3C063146"/>
    <w:rsid w:val="3EA96684"/>
    <w:rsid w:val="3FDC4CB6"/>
    <w:rsid w:val="4073414D"/>
    <w:rsid w:val="40B00C52"/>
    <w:rsid w:val="40C91709"/>
    <w:rsid w:val="410D1E93"/>
    <w:rsid w:val="425451CC"/>
    <w:rsid w:val="42B5097B"/>
    <w:rsid w:val="43261ABD"/>
    <w:rsid w:val="4524248D"/>
    <w:rsid w:val="454229EF"/>
    <w:rsid w:val="45FD5C23"/>
    <w:rsid w:val="48543680"/>
    <w:rsid w:val="490B3CA7"/>
    <w:rsid w:val="4AAC1378"/>
    <w:rsid w:val="4B1B1618"/>
    <w:rsid w:val="4C120A11"/>
    <w:rsid w:val="4FF84097"/>
    <w:rsid w:val="502865F4"/>
    <w:rsid w:val="506131F5"/>
    <w:rsid w:val="535C1F33"/>
    <w:rsid w:val="576A6288"/>
    <w:rsid w:val="57C22C9A"/>
    <w:rsid w:val="5A226281"/>
    <w:rsid w:val="5B8D0F7C"/>
    <w:rsid w:val="5C1E451F"/>
    <w:rsid w:val="5C8F0619"/>
    <w:rsid w:val="5D7307B3"/>
    <w:rsid w:val="5E2A68F7"/>
    <w:rsid w:val="5F921471"/>
    <w:rsid w:val="61714136"/>
    <w:rsid w:val="61DE4C7B"/>
    <w:rsid w:val="63D80E82"/>
    <w:rsid w:val="65454341"/>
    <w:rsid w:val="697417E4"/>
    <w:rsid w:val="6B2F17DE"/>
    <w:rsid w:val="6B764EF7"/>
    <w:rsid w:val="6C0E74B9"/>
    <w:rsid w:val="6CB91B00"/>
    <w:rsid w:val="6D9545B2"/>
    <w:rsid w:val="6F741DC3"/>
    <w:rsid w:val="71463E8D"/>
    <w:rsid w:val="715A3434"/>
    <w:rsid w:val="747223BE"/>
    <w:rsid w:val="77CE2688"/>
    <w:rsid w:val="793D76D4"/>
    <w:rsid w:val="797A18E5"/>
    <w:rsid w:val="79A9110D"/>
    <w:rsid w:val="79EA1EFB"/>
    <w:rsid w:val="7A34105D"/>
    <w:rsid w:val="7B904B1F"/>
    <w:rsid w:val="7BEE322B"/>
    <w:rsid w:val="7CD96D8E"/>
    <w:rsid w:val="7D231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after="120"/>
    </w:pPr>
  </w:style>
  <w:style w:type="paragraph" w:styleId="7">
    <w:name w:val="annotation text"/>
    <w:basedOn w:val="1"/>
    <w:qFormat/>
    <w:uiPriority w:val="0"/>
    <w:pPr>
      <w:jc w:val="left"/>
    </w:pPr>
  </w:style>
  <w:style w:type="paragraph" w:styleId="8">
    <w:name w:val="Body Text Indent"/>
    <w:basedOn w:val="1"/>
    <w:qFormat/>
    <w:uiPriority w:val="0"/>
    <w:pPr>
      <w:spacing w:line="360" w:lineRule="auto"/>
      <w:ind w:left="420" w:firstLine="420"/>
    </w:pPr>
    <w:rPr>
      <w:rFonts w:ascii="宋体" w:hAnsi="宋体"/>
      <w:sz w:val="24"/>
      <w:shd w:val="pct10" w:color="auto" w:fill="FFFFFF"/>
    </w:rPr>
  </w:style>
  <w:style w:type="paragraph" w:styleId="9">
    <w:name w:val="Balloon Text"/>
    <w:basedOn w:val="1"/>
    <w:link w:val="26"/>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jc w:val="center"/>
    </w:pPr>
    <w:rPr>
      <w:rFonts w:ascii="楷体_GB2312" w:eastAsia="楷体_GB2312"/>
      <w:b/>
      <w:sz w:val="72"/>
      <w:szCs w:val="20"/>
    </w:rPr>
  </w:style>
  <w:style w:type="paragraph" w:styleId="13">
    <w:name w:val="Normal (Web)"/>
    <w:basedOn w:val="1"/>
    <w:qFormat/>
    <w:uiPriority w:val="0"/>
    <w:pPr>
      <w:spacing w:beforeAutospacing="1" w:afterAutospacing="1"/>
      <w:jc w:val="left"/>
    </w:pPr>
    <w:rPr>
      <w:kern w:val="0"/>
      <w:sz w:val="24"/>
    </w:rPr>
  </w:style>
  <w:style w:type="paragraph" w:styleId="14">
    <w:name w:val="Body Text First Indent 2"/>
    <w:basedOn w:val="8"/>
    <w:unhideWhenUsed/>
    <w:qFormat/>
    <w:uiPriority w:val="99"/>
  </w:style>
  <w:style w:type="character" w:styleId="17">
    <w:name w:val="page number"/>
    <w:qFormat/>
    <w:uiPriority w:val="0"/>
  </w:style>
  <w:style w:type="character" w:styleId="18">
    <w:name w:val="FollowedHyperlink"/>
    <w:basedOn w:val="16"/>
    <w:qFormat/>
    <w:uiPriority w:val="0"/>
    <w:rPr>
      <w:color w:val="800080"/>
      <w:u w:val="single"/>
    </w:rPr>
  </w:style>
  <w:style w:type="character" w:styleId="19">
    <w:name w:val="Hyperlink"/>
    <w:unhideWhenUsed/>
    <w:qFormat/>
    <w:uiPriority w:val="0"/>
    <w:rPr>
      <w:color w:val="0000FF"/>
      <w:u w:val="single"/>
    </w:rPr>
  </w:style>
  <w:style w:type="character" w:styleId="20">
    <w:name w:val="annotation reference"/>
    <w:basedOn w:val="16"/>
    <w:qFormat/>
    <w:uiPriority w:val="0"/>
    <w:rPr>
      <w:sz w:val="21"/>
      <w:szCs w:val="21"/>
    </w:rPr>
  </w:style>
  <w:style w:type="paragraph" w:customStyle="1" w:styleId="21">
    <w:name w:val="ITB-0"/>
    <w:basedOn w:val="1"/>
    <w:qFormat/>
    <w:uiPriority w:val="0"/>
    <w:pPr>
      <w:adjustRightInd w:val="0"/>
      <w:jc w:val="center"/>
    </w:pPr>
    <w:rPr>
      <w:b/>
      <w:sz w:val="32"/>
      <w:szCs w:val="20"/>
    </w:rPr>
  </w:style>
  <w:style w:type="paragraph" w:customStyle="1" w:styleId="22">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23">
    <w:name w:val="ifb-1"/>
    <w:basedOn w:val="1"/>
    <w:qFormat/>
    <w:uiPriority w:val="0"/>
    <w:pPr>
      <w:ind w:left="420" w:hanging="420"/>
    </w:pPr>
    <w:rPr>
      <w:rFonts w:ascii="楷体_GB2312" w:eastAsia="楷体_GB2312"/>
      <w:szCs w:val="20"/>
    </w:rPr>
  </w:style>
  <w:style w:type="paragraph" w:customStyle="1" w:styleId="24">
    <w:name w:val="列出段落1"/>
    <w:basedOn w:val="1"/>
    <w:qFormat/>
    <w:uiPriority w:val="0"/>
    <w:pPr>
      <w:ind w:firstLine="420" w:firstLineChars="200"/>
    </w:pPr>
    <w:rPr>
      <w:rFonts w:ascii="Calibri" w:hAnsi="Calibri"/>
      <w:szCs w:val="22"/>
    </w:rPr>
  </w:style>
  <w:style w:type="paragraph" w:customStyle="1" w:styleId="25">
    <w:name w:val="att"/>
    <w:basedOn w:val="1"/>
    <w:qFormat/>
    <w:uiPriority w:val="0"/>
    <w:pPr>
      <w:spacing w:line="360" w:lineRule="auto"/>
    </w:pPr>
    <w:rPr>
      <w:rFonts w:eastAsia="楷体_GB2312"/>
      <w:sz w:val="24"/>
      <w:szCs w:val="20"/>
    </w:rPr>
  </w:style>
  <w:style w:type="character" w:customStyle="1" w:styleId="26">
    <w:name w:val="批注框文本 Char"/>
    <w:basedOn w:val="16"/>
    <w:link w:val="9"/>
    <w:qFormat/>
    <w:uiPriority w:val="0"/>
    <w:rPr>
      <w:kern w:val="2"/>
      <w:sz w:val="18"/>
      <w:szCs w:val="18"/>
    </w:rPr>
  </w:style>
  <w:style w:type="paragraph" w:styleId="27">
    <w:name w:val="List Paragraph"/>
    <w:basedOn w:val="1"/>
    <w:qFormat/>
    <w:uiPriority w:val="34"/>
    <w:pPr>
      <w:ind w:firstLine="420" w:firstLineChars="200"/>
    </w:pPr>
  </w:style>
  <w:style w:type="paragraph" w:customStyle="1" w:styleId="2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5286</Words>
  <Characters>5729</Characters>
  <Lines>71</Lines>
  <Paragraphs>20</Paragraphs>
  <TotalTime>1</TotalTime>
  <ScaleCrop>false</ScaleCrop>
  <LinksUpToDate>false</LinksUpToDate>
  <CharactersWithSpaces>6254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2023-01-19T04:46:00Z</dcterms:created>
  <dc:creator>user</dc:creator>
  <cp:lastModifiedBy>user</cp:lastModifiedBy>
  <dcterms:modified xsi:type="dcterms:W3CDTF">2023-03-02T09:04:11Z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948C9E9221F4482292AEA7355DE23444</vt:lpwstr>
  </property>
</Properties>
</file>